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8B2C0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陆丰市人民政府关于2023年度本级预算执行和其他财政收支的审计工作报告</w:t>
      </w:r>
    </w:p>
    <w:p w14:paraId="4350099B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3B830FC9">
      <w:pPr>
        <w:spacing w:line="600" w:lineRule="exact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——</w:t>
      </w:r>
      <w:r>
        <w:rPr>
          <w:rFonts w:hint="eastAsia" w:ascii="楷体_GB2312" w:hAnsi="楷体_GB2312" w:eastAsia="楷体_GB2312" w:cs="楷体_GB2312"/>
          <w:sz w:val="32"/>
          <w:szCs w:val="32"/>
        </w:rPr>
        <w:t>2024年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10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17</w:t>
      </w:r>
      <w:r>
        <w:rPr>
          <w:rFonts w:hint="eastAsia" w:ascii="楷体_GB2312" w:hAnsi="楷体_GB2312" w:eastAsia="楷体_GB2312" w:cs="楷体_GB2312"/>
          <w:sz w:val="32"/>
          <w:szCs w:val="32"/>
        </w:rPr>
        <w:t>日在陆丰市第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十六</w:t>
      </w:r>
      <w:r>
        <w:rPr>
          <w:rFonts w:hint="eastAsia" w:ascii="楷体_GB2312" w:hAnsi="楷体_GB2312" w:eastAsia="楷体_GB2312" w:cs="楷体_GB2312"/>
          <w:sz w:val="32"/>
          <w:szCs w:val="32"/>
        </w:rPr>
        <w:t>届人民代表大会</w:t>
      </w:r>
    </w:p>
    <w:p w14:paraId="2E77A99A">
      <w:pPr>
        <w:spacing w:line="600" w:lineRule="exact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常务委员第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二十九</w:t>
      </w:r>
      <w:r>
        <w:rPr>
          <w:rFonts w:hint="eastAsia" w:ascii="楷体_GB2312" w:hAnsi="楷体_GB2312" w:eastAsia="楷体_GB2312" w:cs="楷体_GB2312"/>
          <w:sz w:val="32"/>
          <w:szCs w:val="32"/>
        </w:rPr>
        <w:t>次会议上</w:t>
      </w:r>
    </w:p>
    <w:p w14:paraId="01C8D641">
      <w:pPr>
        <w:spacing w:line="640" w:lineRule="exact"/>
        <w:jc w:val="center"/>
        <w:rPr>
          <w:rFonts w:ascii="楷体" w:hAnsi="楷体" w:eastAsia="楷体" w:cs="方正小标宋简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陆丰市审计局局长  陈雄伟</w:t>
      </w:r>
    </w:p>
    <w:p w14:paraId="7345FCA6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791DDBC2">
      <w:pPr>
        <w:spacing w:line="600" w:lineRule="exact"/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bookmarkStart w:id="0" w:name="_Hlk173086311"/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主任、各位副主任、各位委员</w:t>
      </w:r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：</w:t>
      </w:r>
    </w:p>
    <w:p w14:paraId="02DB63B5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我受市人民政府委托，报告2023年度本级预算执行和其他财政收支的审计情况，请予审议。</w:t>
      </w:r>
    </w:p>
    <w:p w14:paraId="05C307FD">
      <w:pPr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根据审计法及相关规定，经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委审计委员会批准，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审计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审计了2023年度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本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级预算执行和其他财政收支情况。审计结果表明，在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委、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政府的正确领导下，我市各</w:t>
      </w:r>
      <w:r>
        <w:rPr>
          <w:rFonts w:hint="eastAsia" w:ascii="仿宋_GB2312" w:hAnsi="黑体" w:eastAsia="仿宋_GB2312" w:cs="Times New Roman"/>
          <w:sz w:val="32"/>
          <w:szCs w:val="32"/>
        </w:rPr>
        <w:t>镇（街、场、办）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各部门坚持以习近平新时代中国特色社会主义思想为指导，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深入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贯彻落实党的二十大精神和习近平总书记视察广东重要讲话、重要指示精神，深刻领悟“两个确立”的决定性意义，增强“四个意识”、坚定“四个自信”、做到“两个维护”，全面落实省委“1310”具体部署、汕尾市委党建引领“三六九”工程，稳步推进“百千万工程”、绿美陆丰生态建设、制造业当家等各项部署。</w:t>
      </w:r>
    </w:p>
    <w:p w14:paraId="0BB7A1FA">
      <w:pPr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黑体" w:hAnsi="黑体" w:eastAsia="黑体" w:cs="仿宋_GB2312"/>
          <w:sz w:val="32"/>
          <w:szCs w:val="32"/>
        </w:rPr>
        <w:t>——“百千万工程”实现“开局红”，镇域实力持续壮大。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荣获全省第三届乡村振兴大擂台“六强”县称号、成功入选国家农业现代化示范区、通过“四好农村路”全国示范县创建结果验收、获评2022年度“广东省十大乡村振兴示范带”，碣石镇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东海镇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 xml:space="preserve">六驿村等16个村上榜全省“百千万工程”首批典型镇村，全年新创建国家级名特优新区域品牌2个，省级名牌产品6个。 </w:t>
      </w:r>
    </w:p>
    <w:p w14:paraId="0FB590EF">
      <w:pPr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黑体" w:hAnsi="黑体" w:eastAsia="黑体" w:cs="仿宋_GB2312"/>
          <w:sz w:val="32"/>
          <w:szCs w:val="32"/>
        </w:rPr>
        <w:t>——教育发展水平稳步提升，高质量就业工程深入开展。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投入资金1.83亿元，新改扩建10所义务教育学校和1所公办幼儿园，优质公办学位资源不断扩大，新增就业人员19266人，失业人员再就业8005人，就业困难人员实现再就业602人，城镇登记失业率控制在3%以内。</w:t>
      </w:r>
    </w:p>
    <w:p w14:paraId="7854ABA8">
      <w:pPr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黑体" w:hAnsi="黑体" w:eastAsia="黑体" w:cs="仿宋_GB2312"/>
          <w:sz w:val="32"/>
          <w:szCs w:val="32"/>
        </w:rPr>
        <w:t>——综合交通体系持续完善，平台建设提质提速。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汕汕铁路顺利通车，高铁枢纽一体化（一期）项目建设工程如期完工，揭普惠高速公路南延线、国道228线陆丰市甲子至南塘段改建工程等项目加速推进。全年投入工业园区基础设施建设约3.5亿元，园区承载能力不断增强。</w:t>
      </w:r>
    </w:p>
    <w:p w14:paraId="082760B5">
      <w:pPr>
        <w:pStyle w:val="9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eastAsia="仿宋_GB2312"/>
          <w:bCs/>
          <w:sz w:val="32"/>
          <w:szCs w:val="32"/>
          <w:lang w:val="zh-TW" w:eastAsia="zh-TW" w:bidi="zh-TW"/>
        </w:rPr>
      </w:pPr>
      <w:r>
        <w:rPr>
          <w:rFonts w:hint="eastAsia" w:ascii="黑体" w:hAnsi="黑体" w:eastAsia="黑体" w:cs="仿宋_GB2312"/>
          <w:sz w:val="32"/>
          <w:szCs w:val="32"/>
        </w:rPr>
        <w:t>——</w:t>
      </w:r>
      <w:r>
        <w:rPr>
          <w:rFonts w:hint="eastAsia" w:ascii="黑体" w:hAnsi="黑体" w:eastAsia="黑体" w:cs="楷体_GB2312"/>
          <w:sz w:val="32"/>
          <w:szCs w:val="32"/>
        </w:rPr>
        <w:t>审计整改总体格局日益成熟定型，“下半篇文章”进一步彰显权威高效要求。</w:t>
      </w:r>
      <w:r>
        <w:rPr>
          <w:rFonts w:hint="eastAsia" w:ascii="仿宋_GB2312" w:eastAsia="仿宋_GB2312"/>
          <w:sz w:val="32"/>
          <w:szCs w:val="32"/>
          <w:lang w:val="zh-TW" w:eastAsia="zh-TW" w:bidi="zh-TW"/>
        </w:rPr>
        <w:t>把审计整改“下半篇文章”与揭示问题“上半篇文章”摆在同等重要位置一体推进，全面整改、专项整改、重点督办相结合的审计整改总体格局更加成熟定型。《陆丰市人民政府关于2022年度本级预算执行和其他财政收支的审计工作报告》中反映的110个问题，截至2024年6月底，已落实整改88个，整改完成率为80%</w:t>
      </w:r>
      <w:r>
        <w:rPr>
          <w:rFonts w:hint="eastAsia" w:ascii="仿宋_GB2312" w:eastAsia="仿宋_GB2312"/>
          <w:sz w:val="32"/>
          <w:szCs w:val="32"/>
          <w:lang w:bidi="zh-TW"/>
        </w:rPr>
        <w:t>，整改问题金额2966.22万元。</w:t>
      </w:r>
    </w:p>
    <w:p w14:paraId="123C293A">
      <w:pPr>
        <w:spacing w:line="60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一、财政管理审计情况</w:t>
      </w:r>
    </w:p>
    <w:p w14:paraId="6B7A727F">
      <w:pPr>
        <w:adjustRightInd w:val="0"/>
        <w:snapToGrid w:val="0"/>
        <w:spacing w:line="600" w:lineRule="exact"/>
        <w:ind w:firstLine="643" w:firstLineChars="200"/>
        <w:rPr>
          <w:rFonts w:ascii="楷体" w:hAnsi="楷体" w:eastAsia="楷体" w:cs="Times New Roman"/>
          <w:b/>
          <w:bCs/>
          <w:sz w:val="32"/>
          <w:szCs w:val="32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（一）市级财政管理审计。</w:t>
      </w:r>
    </w:p>
    <w:p w14:paraId="0B87CDC9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2023年，本级一般公共预算总收入104.8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亿元，总支出98.25亿元。收支相抵，年终结转结余6.63亿元；本级政府性基金预算总收入48.13亿元，总支出48.1亿元，年终结余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0.03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亿元；本级国有资本经营预算总收入580万元，总支出540万元，年终结余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40万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元；本级社会保险基金预算总收入7.16亿元，总支出3.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69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亿元,年终结余3.47亿元。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审计结果表明，2023年陆丰市财政部门在</w:t>
      </w:r>
      <w:r>
        <w:rPr>
          <w:rFonts w:hint="eastAsia" w:ascii="仿宋_GB2312" w:hAnsi="仿宋" w:eastAsia="仿宋_GB2312" w:cs="Times New Roman"/>
          <w:sz w:val="32"/>
          <w:szCs w:val="32"/>
        </w:rPr>
        <w:t>财政运转较为困难状况下，能够将“过紧日子”作为理财方针，按照“有保有压有调”的原则，通过大幅压减一般性支出和非重点非刚性支出，将压减腾出的资金用于保障基层“三保”，尽力维持</w:t>
      </w:r>
      <w:r>
        <w:rPr>
          <w:rFonts w:hint="eastAsia" w:ascii="仿宋_GB2312" w:hAnsi="Times New Roman" w:eastAsia="仿宋_GB2312" w:cs="Times New Roman"/>
          <w:sz w:val="32"/>
          <w:szCs w:val="32"/>
        </w:rPr>
        <w:t>财政运行。</w:t>
      </w:r>
    </w:p>
    <w:p w14:paraId="23EA04AA">
      <w:pPr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重点审计了本级预算编制、预算执行管理、专项资金管理使用等方面，发现的主要问题：</w:t>
      </w:r>
    </w:p>
    <w:p w14:paraId="6266F5EE">
      <w:pPr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Times New Roman" w:eastAsia="仿宋_GB2312" w:cs="Times New Roman"/>
          <w:sz w:val="32"/>
          <w:szCs w:val="32"/>
          <w:lang w:val="zh-TW" w:eastAsia="zh-TW"/>
        </w:rPr>
        <w:t>代编预算规模较大。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2023年市本级一般公共预算安排支出合计611889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元，其中支出未按规定列示具体单位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和项目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占年初本级公共预算支出总额31.58%。</w:t>
      </w:r>
    </w:p>
    <w:p w14:paraId="32AC6BC8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Times New Roman" w:eastAsia="仿宋_GB2312" w:cs="Times New Roman"/>
          <w:sz w:val="32"/>
          <w:szCs w:val="32"/>
          <w:lang w:val="zh-TW" w:eastAsia="zh-TW"/>
        </w:rPr>
        <w:t>少编预算。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市财政局未将7项转移支付资金编入2023年预算草案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涉及金额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983.99万元。</w:t>
      </w:r>
    </w:p>
    <w:p w14:paraId="0A563703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3.存在逾</w:t>
      </w:r>
      <w:r>
        <w:rPr>
          <w:rFonts w:hint="eastAsia" w:ascii="仿宋_GB2312" w:hAnsi="Times New Roman" w:eastAsia="仿宋_GB2312" w:cs="Times New Roman"/>
          <w:sz w:val="32"/>
          <w:szCs w:val="32"/>
          <w:lang w:val="zh-TW" w:eastAsia="zh-TW"/>
        </w:rPr>
        <w:t>期清算代理银行垫付资金</w:t>
      </w:r>
      <w:r>
        <w:rPr>
          <w:rFonts w:hint="eastAsia" w:ascii="仿宋_GB2312" w:hAnsi="Times New Roman" w:eastAsia="仿宋_GB2312" w:cs="Times New Roman"/>
          <w:sz w:val="32"/>
          <w:szCs w:val="32"/>
        </w:rPr>
        <w:t>情况</w:t>
      </w:r>
      <w:r>
        <w:rPr>
          <w:rFonts w:hint="eastAsia" w:ascii="仿宋_GB2312" w:hAnsi="Times New Roman" w:eastAsia="仿宋_GB2312" w:cs="Times New Roman"/>
          <w:sz w:val="32"/>
          <w:szCs w:val="32"/>
          <w:lang w:val="zh-TW" w:eastAsia="zh-TW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2023年1月至12月均存在代理银行垫付资金情况。2023年底，市财政筹集资金归还银行代垫资金，银行垫付资金实现清零。上述垫付资金已于2024年5月31日完成清算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。</w:t>
      </w:r>
    </w:p>
    <w:p w14:paraId="13183498"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4.历年挤占专项资金、债券资金、债券还本付息资金449176.3万元。</w:t>
      </w:r>
    </w:p>
    <w:p w14:paraId="32AEF374">
      <w:pPr>
        <w:adjustRightInd w:val="0"/>
        <w:spacing w:line="600" w:lineRule="exact"/>
        <w:ind w:firstLine="640" w:firstLineChars="200"/>
        <w:textAlignment w:val="baseline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5.资金执行率低。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65笔转移性支付资金截至2024年4月12日总体执行率23.26%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陆丰市2023年保运转支出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CN" w:bidi="zh-TW"/>
        </w:rPr>
        <w:t>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预算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执行数仅占预算数的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58.4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%。</w:t>
      </w:r>
    </w:p>
    <w:p w14:paraId="066FC32F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6.暂付性款项管理不到位。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截至2023年底，市财政局未消化暂付性存量款项255</w:t>
      </w:r>
      <w:r>
        <w:rPr>
          <w:rFonts w:ascii="仿宋_GB2312" w:hAnsi="宋体" w:eastAsia="PMingLiU" w:cs="宋体"/>
          <w:kern w:val="0"/>
          <w:sz w:val="32"/>
          <w:szCs w:val="32"/>
          <w:lang w:val="zh-TW" w:eastAsia="zh-TW" w:bidi="zh-TW"/>
        </w:rPr>
        <w:t>019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元。</w:t>
      </w:r>
    </w:p>
    <w:p w14:paraId="2F889102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PMingLiU" w:cs="宋体"/>
          <w:kern w:val="0"/>
          <w:sz w:val="32"/>
          <w:szCs w:val="32"/>
          <w:lang w:val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7.往来款清理不及时。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截至2023年底，</w:t>
      </w:r>
      <w:r>
        <w:rPr>
          <w:rFonts w:hint="eastAsia" w:ascii="仿宋_GB2312" w:hAnsi="Calibri" w:eastAsia="仿宋_GB2312"/>
          <w:sz w:val="32"/>
          <w:szCs w:val="32"/>
        </w:rPr>
        <w:t>市财政局其他应付款中存量资金余额16226.16万元，未及时进行清理结算。</w:t>
      </w:r>
    </w:p>
    <w:p w14:paraId="2C9FDECD">
      <w:pPr>
        <w:adjustRightInd w:val="0"/>
        <w:snapToGrid w:val="0"/>
        <w:spacing w:line="600" w:lineRule="exact"/>
        <w:ind w:firstLine="643" w:firstLineChars="200"/>
        <w:rPr>
          <w:rFonts w:ascii="楷体" w:hAnsi="楷体" w:eastAsia="楷体" w:cs="楷体"/>
          <w:color w:val="000000"/>
          <w:sz w:val="31"/>
          <w:szCs w:val="31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（二）市级部门预算执行审计。</w:t>
      </w:r>
    </w:p>
    <w:p w14:paraId="51D3753A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结合各单位领导干部经济责任审计、财务收支情况审计，对预算单位及下属单位预算执行情况进行审计。发现的主要问题:</w:t>
      </w:r>
    </w:p>
    <w:p w14:paraId="56F3B54A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1.违规发放津贴补贴261.62万元。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1个单位违规自立项目发放津贴补贴228.33万元，2个单位违规发放生育津贴33.29万元。</w:t>
      </w:r>
    </w:p>
    <w:p w14:paraId="4276C785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2.非税收入、清理清退费用未上缴财政。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5个单位非税收入未及时上缴财政，涉及金额122.73万元；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1个单位清退的违规资金9.9万元未及时上缴国库。</w:t>
      </w:r>
    </w:p>
    <w:p w14:paraId="7A629921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3.货币现金管理不规范。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5个单位超出规定范围和限额使用现金180.66万元；1个单位违规用长期不结算的借款单顶替库存现金16.34万元。</w:t>
      </w:r>
    </w:p>
    <w:p w14:paraId="4932C52B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4.政府采购程序不规范。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5个单位自行采购应当纳入政府集中采购的项目，涉及金额223.99万元；1个单位通过单一采购方式采购监控设备及安装服务0.36万元；2个单位招投标手续不规范，如未在规定平台发布招标公告和公示信息、评标上会时间晚于通知中标时间、存在泄露标底行为等。</w:t>
      </w:r>
    </w:p>
    <w:p w14:paraId="1FB1237B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5.超预算支出。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1个单位超预算支出物业管理费73.33万元。</w:t>
      </w:r>
    </w:p>
    <w:p w14:paraId="7D4920BF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6.未按规定代扣代缴个人所得税。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2个单位未履行代扣代缴个人所得税，涉及金额40.28万元。</w:t>
      </w:r>
    </w:p>
    <w:p w14:paraId="3D7C649D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7.财务管理不规范。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7个单位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按规定及时清理各种代管代收费、往来款；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部分单位新购置固定资产无登记入账、固定资产账实不符、固定资产未按规定盘点；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三是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部分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原始凭证不规范、缺失，如业务接待费报销凭证无接待公函和接待清单、购买办公物品、水电材料未按规定办理实物移交或验收证明手续等；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四是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zh-TW"/>
        </w:rPr>
        <w:t>部分单位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未按规定实行村账镇管；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五是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zh-TW"/>
        </w:rPr>
        <w:t>部分单位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工会未按规定单独开立银行账户和未单独建账；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六是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部分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大额财政资金支出和重大经济决策事项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按规定集体决策等。</w:t>
      </w:r>
      <w:bookmarkStart w:id="1" w:name="_GoBack"/>
      <w:bookmarkEnd w:id="1"/>
    </w:p>
    <w:p w14:paraId="0E87D09E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8.合同管理不规范。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1个单位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清理不规范集体经济合同工作不到位，未清理26宗不规范农村集体经济合同；2个单位存在没有办理单位法人授权委托，由单位其他人员擅自代理单位签订合同情况。</w:t>
      </w:r>
    </w:p>
    <w:p w14:paraId="61904F0E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二、地方政府专项债券管理使用审计情况</w:t>
      </w:r>
    </w:p>
    <w:p w14:paraId="2AD26B7A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审计结果表明，有关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部门能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加强地方政府专项债券管理，积极发挥专项债券资金作用，有效拉动投资。发现的主要问题：</w:t>
      </w:r>
    </w:p>
    <w:p w14:paraId="3ACEDFFD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（一）违规使用债券资金。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1个单位违规使用债券资金垫付其他项目支出，涉及金额972.30万元。</w:t>
      </w:r>
    </w:p>
    <w:p w14:paraId="646CF2AE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（二）债券项目虚列支出进度。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陆丰市4个项目以预拨土地征收及拆迁补偿的名义，将债券资金转入陆丰市土地储备中心，虚列支出进度。</w:t>
      </w:r>
    </w:p>
    <w:p w14:paraId="1ED7A758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（三）债券项目资金闲置。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10个2023年债券项目资金闲置，涉及金额43731.74万元。</w:t>
      </w:r>
    </w:p>
    <w:p w14:paraId="4F9F1711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（四）债券项目施工单位以虚假工程量申报进度款。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2个项目单位多报未实施的工程量，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涉及金额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667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30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万元。</w:t>
      </w:r>
    </w:p>
    <w:p w14:paraId="53D18E78">
      <w:pPr>
        <w:adjustRightInd w:val="0"/>
        <w:snapToGrid w:val="0"/>
        <w:spacing w:line="600" w:lineRule="exact"/>
        <w:ind w:firstLine="643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（五）债券项目未按施工设计图纸要求施工。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2个债券项目未按设计图纸要求施工，涉及金额127.22万元。</w:t>
      </w:r>
    </w:p>
    <w:p w14:paraId="3D5468CA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（六）债券项目工程预算财政评审工作严重滞后。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2个债券项目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开工超过1年才开展工程预算财政评审。</w:t>
      </w:r>
    </w:p>
    <w:p w14:paraId="4809A328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三、重点民生资金审计</w:t>
      </w:r>
    </w:p>
    <w:p w14:paraId="58609782">
      <w:pPr>
        <w:adjustRightInd w:val="0"/>
        <w:snapToGrid w:val="0"/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（一）2023年陆丰市十件民生实事养老服务体系建设落实情况跟踪审计。</w:t>
      </w:r>
      <w:r>
        <w:rPr>
          <w:rFonts w:hint="eastAsia" w:ascii="仿宋_GB2312" w:hAnsi="仿宋_GB2312" w:eastAsia="仿宋_GB2312" w:cs="仿宋_GB2312"/>
          <w:sz w:val="32"/>
          <w:szCs w:val="32"/>
        </w:rPr>
        <w:t>发现的主要问题:</w:t>
      </w:r>
    </w:p>
    <w:p w14:paraId="16B45B04"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1.市卫健局2023年家庭医生签约工作不规范。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老年人健康管理统计数据不实；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家庭医生签约合同管理不规范。</w:t>
      </w:r>
    </w:p>
    <w:p w14:paraId="314AEBEC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2.市民政局项目验收监管不到位。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未按期完成2023年居家养老服务项目；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大安镇安北村综合养老服务中心提升项目未如实验收；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三是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特殊困难老年人家庭适老化改造服务项目验收手续不规范。</w:t>
      </w:r>
    </w:p>
    <w:p w14:paraId="19E747CA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3.市卫健局对新增医养结合机构监管不到位。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医养结合机构未按养老机构医务室基本标准配备设施，且未制定相关管理制度。</w:t>
      </w:r>
    </w:p>
    <w:p w14:paraId="753CB305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4.市民政局履行监督职责不到位。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2个养老服务中心示范点均未配备消防安全设备、器材和设置消防安全标志，存在安全隐患。</w:t>
      </w:r>
    </w:p>
    <w:p w14:paraId="7357FFA2"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5.65岁及以上老年人城乡社区规范健康管理服务率低。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截至2023年12月31日，全市65岁及以上老年人城乡社区规范健康管理服务率为48.86%。</w:t>
      </w:r>
    </w:p>
    <w:p w14:paraId="7DB834E1">
      <w:pPr>
        <w:adjustRightInd w:val="0"/>
        <w:snapToGrid w:val="0"/>
        <w:spacing w:line="600" w:lineRule="exact"/>
        <w:ind w:firstLine="643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（二）2022年至2023年6月医疗保险基金管理使用情况专项审计调查项目。</w:t>
      </w:r>
      <w:r>
        <w:rPr>
          <w:rFonts w:hint="eastAsia" w:ascii="楷体_GB2312" w:hAnsi="仿宋_GB2312" w:eastAsia="楷体_GB2312" w:cs="仿宋_GB2312"/>
          <w:sz w:val="32"/>
          <w:szCs w:val="32"/>
        </w:rPr>
        <w:t>发现的主要问题:</w:t>
      </w:r>
    </w:p>
    <w:p w14:paraId="723C3452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1.对医疗机构办理门特待遇认定业务监督检查不到位。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2022年至2023年6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月底，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相关部门</w:t>
      </w:r>
      <w:r>
        <w:rPr>
          <w:rFonts w:hint="eastAsia" w:ascii="仿宋_GB2312" w:hAnsi="Times New Roman" w:eastAsia="仿宋_GB2312" w:cs="Times New Roman"/>
          <w:sz w:val="32"/>
          <w:szCs w:val="32"/>
        </w:rPr>
        <w:t>对医疗机构办理门特待遇认定业务进行指导、监督过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程中，监督检查不到位，部分医疗机构存在管理不规范，未严格按照经办规程的要求和标准填写门特病种待遇认定表。</w:t>
      </w:r>
    </w:p>
    <w:p w14:paraId="5FF81962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2.未完成药品和医用耗材约定采购量。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截至2023年6月30日，有7家医疗机构在已经开展的国家第四批、第五批药品集采工作中，未完成约定采购量；有4家医疗机构在已经开展的广东省医疗机构超声刀头、人工关节集中带量采购工作中，未完成约定采购量。</w:t>
      </w:r>
    </w:p>
    <w:p w14:paraId="520509E1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3.未优先采购中选药品。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截至2023年6月30日，有5家医疗机构未优先采购国家第四批、第五批药品集采中选结果表中的中选药品，采购非中选药品，涉及10项药品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431.82万元。</w:t>
      </w:r>
    </w:p>
    <w:p w14:paraId="500E760E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4.医疗机构多收费。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两家单位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违规多收费，涉及医保基金75.99万元；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一家单位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重复收费，涉及医保基金1.51万元；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一家单位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违规串换项目多收费，涉及医保基金0.52万元；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一家单位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多收取精神病患者床位费，涉及医保基金5.66万元。</w:t>
      </w:r>
    </w:p>
    <w:p w14:paraId="29E8684C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四、公共投资项目审计</w:t>
      </w:r>
    </w:p>
    <w:p w14:paraId="06588AC8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重点审计了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3个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工程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，结合其他审计项目对被审计单位工程建设项目进行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延伸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审计，发现的主要问题:</w:t>
      </w:r>
    </w:p>
    <w:p w14:paraId="02D8E265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（一）前期工作不实。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3个工程项目初步设计未报相关部门审批；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1个工程项目勘察文件未报相关部门审查；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三是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3个已开工工程项目未及时办理施工许可证；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bidi="zh-TW"/>
        </w:rPr>
        <w:t>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1个建设项目现场使用的施工图设计文件未经审查批准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bidi="zh-TW"/>
        </w:rPr>
        <w:t>五是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1个建设项目实施单位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未编制余土处置方案。</w:t>
      </w:r>
    </w:p>
    <w:p w14:paraId="0E35671E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（二）工程造价控制不严。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3个工程项目多计工程款111.76万元；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1个工程预算未经财政部门审核。</w:t>
      </w:r>
    </w:p>
    <w:p w14:paraId="600EB17F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（三）工程实施管理不规范。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1个单位部分工程未按规定办理设计变更手续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3个工程项目未能按合同约定的期限完成工程项目，最长与合同约定完成时间逾期约26个月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3个工程项目监理单位履职不到位。</w:t>
      </w:r>
    </w:p>
    <w:p w14:paraId="7BD3E2D9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（四）未按规定开展竣工验收、工程结算和竣工财务决算。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1个已完工建设工程项目未及时组织验收；1个工程项目的工程竣工图文件中缺少竣工平面图；4个已竣工工程项目未按规定及时编制竣工财务决算。</w:t>
      </w:r>
    </w:p>
    <w:p w14:paraId="7985E102">
      <w:pPr>
        <w:adjustRightInd w:val="0"/>
        <w:snapToGrid w:val="0"/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（五）履约担保管理不严。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1个工程项目未及时敦促承包方按合同约定提供履约担保628.62万元；1个工程项目违规预留工程质量保证金530.13万元。</w:t>
      </w:r>
    </w:p>
    <w:p w14:paraId="5D522F52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（六）已竣工验收工程项目无法使用，长期闲置。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1个工程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项目于2022年2月竣工验收合格，建成后由于道路不通，排污排水无法解决，导致长期无法使用。</w:t>
      </w:r>
    </w:p>
    <w:p w14:paraId="595DC790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五、企业审计情况</w:t>
      </w:r>
    </w:p>
    <w:p w14:paraId="778CEEA4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审计了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zh-TW"/>
        </w:rPr>
        <w:t>3个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企业，发现的主要问题:</w:t>
      </w:r>
    </w:p>
    <w:p w14:paraId="7638C3E5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（一）费用报销不规范。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1个企业职工重复报销通讯费0.96万元；1个企业使用不合规票据报销食堂费用171.78万元；1个企业公务用车加油费用凭证附件不完整。</w:t>
      </w:r>
    </w:p>
    <w:p w14:paraId="04A540E4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（二）未严格执行工资总额预算方案。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企业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未按有关规定编制工资总额预算方案，未将工资总额预算方案报陆丰市国有资产监督管理局备案或核准。</w:t>
      </w:r>
    </w:p>
    <w:p w14:paraId="58A15A03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（三）未按规定缴纳印花税。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1个企业未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按规定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缴纳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合同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印花税1.35万元。</w:t>
      </w:r>
    </w:p>
    <w:p w14:paraId="311BB040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（四）超范围支付工会经费</w:t>
      </w: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1个企业超范围支付工会经费1.42万元。</w:t>
      </w:r>
    </w:p>
    <w:p w14:paraId="1D125C80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（五）未为部分职工办理社会保险和缴存住房公积金。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1个企业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2020至2022年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未为部分职工办理社会保险及缴存住房公积金。</w:t>
      </w:r>
    </w:p>
    <w:p w14:paraId="6B275BFB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（六）财政拨款结余资金91.43万元未上缴国库。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1个企业将特定用途的财政结余资金91.43万元转入公司其他账户直接使用，未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按规定上缴国库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。</w:t>
      </w:r>
    </w:p>
    <w:p w14:paraId="64EF97E5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（七）会计核算不规范。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个企业长期股权投资账实不符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；1个企业2020至2023年未按规定摊销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无形资产、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未对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不良资产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提减值准备等。</w:t>
      </w:r>
    </w:p>
    <w:p w14:paraId="21AE868F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六、审计建议</w:t>
      </w:r>
    </w:p>
    <w:p w14:paraId="7CD7AA5F">
      <w:pPr>
        <w:adjustRightInd w:val="0"/>
        <w:snapToGrid w:val="0"/>
        <w:spacing w:line="60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按照市委、市政府的决策部署和工作要求，结合审计反映的情况与问题，审计建议：</w:t>
      </w:r>
    </w:p>
    <w:p w14:paraId="69464B15">
      <w:pPr>
        <w:adjustRightInd w:val="0"/>
        <w:snapToGrid w:val="0"/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（一）要加强预算编制工作，提高预算编制的科学性、合理性。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市财政局要严格执行《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中华</w:t>
      </w:r>
      <w:r>
        <w:rPr>
          <w:rFonts w:ascii="仿宋_GB2312" w:hAnsi="宋体" w:eastAsia="仿宋_GB2312" w:cs="宋体"/>
          <w:kern w:val="0"/>
          <w:sz w:val="32"/>
          <w:szCs w:val="32"/>
          <w:lang w:val="zh-TW" w:bidi="zh-TW"/>
        </w:rPr>
        <w:t>人民共和国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预算法》，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贯彻“量入为出”原则，严格依据真实合理的预算收入情况，以兜牢三保底线为基础，合理安排预算支出；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要厉行节约坚持“过紧日子”，不断优化财政支出结构，严控一般性支出，对新增的本级财力支出，要严格论证审核，强化财政运行风险管控。</w:t>
      </w:r>
    </w:p>
    <w:p w14:paraId="1906437C">
      <w:pPr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（二）加强预算收入组织工作，提升财政保障能力。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一是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完善预算收入的征收管理制度，建立多部门联动机制，堵塞管理漏洞，加大应缴未缴收入的清理力度，确保相关收入应收尽收。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二是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充分挖掘预算收入潜力，加大对砂、石等矿产资源资产的合理利用，盘活政府资产资源，加大对存量资金等的清理统筹力度。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zh-TW" w:eastAsia="zh-TW" w:bidi="zh-TW"/>
        </w:rPr>
        <w:t>三是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积极拓宽本级财力财源，主动作为，加强与上级业务主管部门的对接，积极争取上级资金，切实提升财政保障能力。</w:t>
      </w:r>
    </w:p>
    <w:p w14:paraId="293184E8">
      <w:pPr>
        <w:spacing w:line="60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</w:rPr>
        <w:t>（三）强化预算执行监督，提高财政资金管理使用的安全性、规范性、有效性。</w:t>
      </w:r>
      <w:r>
        <w:rPr>
          <w:rFonts w:hint="eastAsia" w:ascii="仿宋_GB2312" w:hAnsi="Times New Roman" w:eastAsia="仿宋_GB2312" w:cs="Times New Roman"/>
          <w:b/>
          <w:bCs/>
          <w:sz w:val="32"/>
          <w:szCs w:val="24"/>
        </w:rPr>
        <w:t>一是</w:t>
      </w:r>
      <w:r>
        <w:rPr>
          <w:rFonts w:hint="eastAsia" w:ascii="仿宋_GB2312" w:hAnsi="Times New Roman" w:eastAsia="仿宋_GB2312" w:cs="Times New Roman"/>
          <w:sz w:val="32"/>
          <w:szCs w:val="24"/>
        </w:rPr>
        <w:t>要依托“数字财政”平台，充分发挥信息化管理手段，加强对预算执行情况的监管，及时采取有效措施纠正违规行为。</w:t>
      </w:r>
      <w:r>
        <w:rPr>
          <w:rFonts w:hint="eastAsia" w:ascii="仿宋_GB2312" w:hAnsi="Times New Roman" w:eastAsia="仿宋_GB2312" w:cs="Times New Roman"/>
          <w:b/>
          <w:bCs/>
          <w:sz w:val="32"/>
          <w:szCs w:val="24"/>
        </w:rPr>
        <w:t>二是</w:t>
      </w:r>
      <w:r>
        <w:rPr>
          <w:rFonts w:hint="eastAsia" w:ascii="仿宋_GB2312" w:hAnsi="Times New Roman" w:eastAsia="仿宋_GB2312" w:cs="Times New Roman"/>
          <w:sz w:val="32"/>
          <w:szCs w:val="24"/>
        </w:rPr>
        <w:t>要加强对预算执行单位的督导，压实业务主管部门资金分配和使用的责任，将重大资金的使用纳入市政府重点督办事项，对涉及民生领域的资金，要及时安排到位。</w:t>
      </w:r>
      <w:r>
        <w:rPr>
          <w:rFonts w:hint="eastAsia" w:ascii="仿宋_GB2312" w:hAnsi="Times New Roman" w:eastAsia="仿宋_GB2312" w:cs="Times New Roman"/>
          <w:b/>
          <w:bCs/>
          <w:sz w:val="32"/>
          <w:szCs w:val="24"/>
        </w:rPr>
        <w:t>三是</w:t>
      </w:r>
      <w:r>
        <w:rPr>
          <w:rFonts w:hint="eastAsia" w:ascii="仿宋_GB2312" w:hAnsi="Times New Roman" w:eastAsia="仿宋_GB2312" w:cs="Times New Roman"/>
          <w:sz w:val="32"/>
          <w:szCs w:val="24"/>
        </w:rPr>
        <w:t>加强资金支付和清算管理，严格执行国库集中支付制度，及时办理清算。</w:t>
      </w:r>
      <w:r>
        <w:rPr>
          <w:rFonts w:hint="eastAsia" w:ascii="仿宋_GB2312" w:hAnsi="Times New Roman" w:eastAsia="仿宋_GB2312" w:cs="Times New Roman"/>
          <w:b/>
          <w:bCs/>
          <w:sz w:val="32"/>
          <w:szCs w:val="24"/>
        </w:rPr>
        <w:t>四是</w:t>
      </w:r>
      <w:r>
        <w:rPr>
          <w:rFonts w:hint="eastAsia" w:ascii="仿宋_GB2312" w:hAnsi="Times New Roman" w:eastAsia="仿宋_GB2312" w:cs="Times New Roman"/>
          <w:sz w:val="32"/>
          <w:szCs w:val="24"/>
        </w:rPr>
        <w:t>加强绩效考核工作，进一步提升绩效评价覆盖面，加大对重大政策、重大项目资金使用进度、绩效管理的检查力度，强化绩效评价结果在年度预算安排上的运用，倒逼预算单位重视资金使用绩效。</w:t>
      </w:r>
    </w:p>
    <w:p w14:paraId="7A979312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本报告反映的是本级预算执行和其他财政收支审计发现的主要问题，对这些问题，审计部门已依法征求被审计单位意见并出具审计报告，对相关问题线索，已按规定移交相关部门进一步查处。有关单位正在积极整改。下一步，陆丰市审计局将加强跟踪督促，陆丰市人民政府将按有关规定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bidi="zh-TW"/>
        </w:rPr>
        <w:t>市委审计</w:t>
      </w:r>
      <w:r>
        <w:rPr>
          <w:rFonts w:ascii="仿宋_GB2312" w:hAnsi="宋体" w:eastAsia="仿宋_GB2312" w:cs="宋体"/>
          <w:kern w:val="0"/>
          <w:sz w:val="32"/>
          <w:szCs w:val="32"/>
          <w:lang w:val="zh-TW" w:bidi="zh-TW"/>
        </w:rPr>
        <w:t>委员会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报告整改情况。</w:t>
      </w:r>
    </w:p>
    <w:p w14:paraId="082DF8F3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主任、各位副主任、各位委员：</w:t>
      </w:r>
    </w:p>
    <w:p w14:paraId="0E55CD2E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今年是新中国成立75周年，是实现“十四五”规划目标任务的关键一年。审计机关将更加紧密团结在以习近平同志为核心的党中央周围，坚持以习近平新时代中国特色社会主义思想为指导，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全面贯彻落实党的二十大和二十届二中、三中全会精神，深入学习贯彻习近平总书记视察广东重要讲话、重要指示精神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，在省委省政府、汕尾市委市政府和陆丰市委坚强领导下，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zh-TW"/>
        </w:rPr>
        <w:t>依法忠实履行职责，自觉接受市人大及其常委会监督，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TW" w:eastAsia="zh-TW" w:bidi="zh-TW"/>
        </w:rPr>
        <w:t>踔厉奋发、赓续前行、奋勇争先，在奋进中国式现代化新征程上书写陆丰高质量发展新篇章！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88" w:bottom="2098" w:left="1588" w:header="851" w:footer="85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仿宋" w:hAnsi="仿宋" w:eastAsia="仿宋"/>
        <w:sz w:val="28"/>
        <w:szCs w:val="28"/>
      </w:rPr>
      <w:id w:val="-463276077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 w14:paraId="097484C1">
        <w:pPr>
          <w:pStyle w:val="7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5 -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仿宋" w:hAnsi="仿宋" w:eastAsia="仿宋"/>
        <w:sz w:val="28"/>
        <w:szCs w:val="28"/>
      </w:rPr>
      <w:id w:val="-1669939955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 w14:paraId="05E05F96">
        <w:pPr>
          <w:pStyle w:val="7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6 -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0A6601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D3062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jViMDQxYTljNDI1MzIzOWEyMGI1MzE5OGJjMzUifQ=="/>
  </w:docVars>
  <w:rsids>
    <w:rsidRoot w:val="00DA031C"/>
    <w:rsid w:val="0000317D"/>
    <w:rsid w:val="00006596"/>
    <w:rsid w:val="0003710C"/>
    <w:rsid w:val="00037323"/>
    <w:rsid w:val="00053026"/>
    <w:rsid w:val="000536BE"/>
    <w:rsid w:val="00075B74"/>
    <w:rsid w:val="00085F03"/>
    <w:rsid w:val="000A1CE2"/>
    <w:rsid w:val="000F4A9E"/>
    <w:rsid w:val="00106069"/>
    <w:rsid w:val="0011346F"/>
    <w:rsid w:val="00132D30"/>
    <w:rsid w:val="001455C9"/>
    <w:rsid w:val="0015078D"/>
    <w:rsid w:val="0016486F"/>
    <w:rsid w:val="00191F46"/>
    <w:rsid w:val="001A1FE7"/>
    <w:rsid w:val="001A2092"/>
    <w:rsid w:val="001A7E67"/>
    <w:rsid w:val="001B0240"/>
    <w:rsid w:val="001B27F5"/>
    <w:rsid w:val="001C0616"/>
    <w:rsid w:val="001C45E4"/>
    <w:rsid w:val="001D454B"/>
    <w:rsid w:val="001F2ABD"/>
    <w:rsid w:val="001F40C3"/>
    <w:rsid w:val="001F4F1E"/>
    <w:rsid w:val="001F6A03"/>
    <w:rsid w:val="00201AE2"/>
    <w:rsid w:val="002021FD"/>
    <w:rsid w:val="00212657"/>
    <w:rsid w:val="00212773"/>
    <w:rsid w:val="00217C3E"/>
    <w:rsid w:val="00223EB9"/>
    <w:rsid w:val="00224910"/>
    <w:rsid w:val="002329A1"/>
    <w:rsid w:val="002349BC"/>
    <w:rsid w:val="00253565"/>
    <w:rsid w:val="0026669E"/>
    <w:rsid w:val="0027634A"/>
    <w:rsid w:val="002D39FD"/>
    <w:rsid w:val="00307E77"/>
    <w:rsid w:val="00330F00"/>
    <w:rsid w:val="00334345"/>
    <w:rsid w:val="00340FD0"/>
    <w:rsid w:val="003552DB"/>
    <w:rsid w:val="003603A5"/>
    <w:rsid w:val="00374E68"/>
    <w:rsid w:val="00380F7C"/>
    <w:rsid w:val="003A0E51"/>
    <w:rsid w:val="003B55E8"/>
    <w:rsid w:val="003C07C1"/>
    <w:rsid w:val="003D247C"/>
    <w:rsid w:val="003D526E"/>
    <w:rsid w:val="003E2006"/>
    <w:rsid w:val="004378D0"/>
    <w:rsid w:val="00444697"/>
    <w:rsid w:val="00462509"/>
    <w:rsid w:val="00467540"/>
    <w:rsid w:val="00475935"/>
    <w:rsid w:val="004B6238"/>
    <w:rsid w:val="004D7B74"/>
    <w:rsid w:val="00503F27"/>
    <w:rsid w:val="005068E9"/>
    <w:rsid w:val="005151FE"/>
    <w:rsid w:val="005227DB"/>
    <w:rsid w:val="00536A77"/>
    <w:rsid w:val="0055148C"/>
    <w:rsid w:val="00553019"/>
    <w:rsid w:val="005549A8"/>
    <w:rsid w:val="00557AFD"/>
    <w:rsid w:val="00563B0E"/>
    <w:rsid w:val="005858D2"/>
    <w:rsid w:val="0058626F"/>
    <w:rsid w:val="0058771C"/>
    <w:rsid w:val="005950B8"/>
    <w:rsid w:val="005E3287"/>
    <w:rsid w:val="00610765"/>
    <w:rsid w:val="00612D15"/>
    <w:rsid w:val="006278AD"/>
    <w:rsid w:val="00654907"/>
    <w:rsid w:val="00682830"/>
    <w:rsid w:val="00692F4D"/>
    <w:rsid w:val="00695333"/>
    <w:rsid w:val="006A45B7"/>
    <w:rsid w:val="006E6D61"/>
    <w:rsid w:val="00700597"/>
    <w:rsid w:val="007039AF"/>
    <w:rsid w:val="0071132B"/>
    <w:rsid w:val="00742421"/>
    <w:rsid w:val="00796001"/>
    <w:rsid w:val="007A4B6F"/>
    <w:rsid w:val="007B609C"/>
    <w:rsid w:val="007C04BE"/>
    <w:rsid w:val="007D2495"/>
    <w:rsid w:val="007E4BDB"/>
    <w:rsid w:val="007E7410"/>
    <w:rsid w:val="0082341A"/>
    <w:rsid w:val="0083565F"/>
    <w:rsid w:val="00847326"/>
    <w:rsid w:val="008619FB"/>
    <w:rsid w:val="00876F86"/>
    <w:rsid w:val="00884EDB"/>
    <w:rsid w:val="008878B0"/>
    <w:rsid w:val="00894748"/>
    <w:rsid w:val="008B570B"/>
    <w:rsid w:val="008B58C2"/>
    <w:rsid w:val="008D15DA"/>
    <w:rsid w:val="008D4C99"/>
    <w:rsid w:val="008F1692"/>
    <w:rsid w:val="008F4E96"/>
    <w:rsid w:val="00905E83"/>
    <w:rsid w:val="00914FD0"/>
    <w:rsid w:val="0092013F"/>
    <w:rsid w:val="00921CB8"/>
    <w:rsid w:val="009231F4"/>
    <w:rsid w:val="00940F5D"/>
    <w:rsid w:val="00947AD6"/>
    <w:rsid w:val="009C6C4B"/>
    <w:rsid w:val="009D2F04"/>
    <w:rsid w:val="009D5AC5"/>
    <w:rsid w:val="00A02965"/>
    <w:rsid w:val="00A105BF"/>
    <w:rsid w:val="00A15C2E"/>
    <w:rsid w:val="00A5169C"/>
    <w:rsid w:val="00A73D01"/>
    <w:rsid w:val="00AB386F"/>
    <w:rsid w:val="00AC660E"/>
    <w:rsid w:val="00AD5676"/>
    <w:rsid w:val="00AD605B"/>
    <w:rsid w:val="00AD608D"/>
    <w:rsid w:val="00AD72FC"/>
    <w:rsid w:val="00AE11AF"/>
    <w:rsid w:val="00AF452A"/>
    <w:rsid w:val="00AF7E1E"/>
    <w:rsid w:val="00B028F2"/>
    <w:rsid w:val="00B13511"/>
    <w:rsid w:val="00B25043"/>
    <w:rsid w:val="00B31A12"/>
    <w:rsid w:val="00B41313"/>
    <w:rsid w:val="00B437A8"/>
    <w:rsid w:val="00B6028D"/>
    <w:rsid w:val="00B6269D"/>
    <w:rsid w:val="00B62C50"/>
    <w:rsid w:val="00B63C43"/>
    <w:rsid w:val="00B662F1"/>
    <w:rsid w:val="00B66EB4"/>
    <w:rsid w:val="00B67BDC"/>
    <w:rsid w:val="00B87B5F"/>
    <w:rsid w:val="00B975A0"/>
    <w:rsid w:val="00BA7A6C"/>
    <w:rsid w:val="00BB0C77"/>
    <w:rsid w:val="00BB1406"/>
    <w:rsid w:val="00BB6202"/>
    <w:rsid w:val="00BE47F6"/>
    <w:rsid w:val="00BF7630"/>
    <w:rsid w:val="00C33929"/>
    <w:rsid w:val="00C46519"/>
    <w:rsid w:val="00C4741C"/>
    <w:rsid w:val="00C519D1"/>
    <w:rsid w:val="00C553A5"/>
    <w:rsid w:val="00C567FC"/>
    <w:rsid w:val="00C615EA"/>
    <w:rsid w:val="00C70A08"/>
    <w:rsid w:val="00C71D48"/>
    <w:rsid w:val="00C942C2"/>
    <w:rsid w:val="00CA2AD9"/>
    <w:rsid w:val="00CB6B6C"/>
    <w:rsid w:val="00CC61E3"/>
    <w:rsid w:val="00CC6DA5"/>
    <w:rsid w:val="00CD09A5"/>
    <w:rsid w:val="00CE4667"/>
    <w:rsid w:val="00CE4FA0"/>
    <w:rsid w:val="00CE7CBD"/>
    <w:rsid w:val="00D04696"/>
    <w:rsid w:val="00D05628"/>
    <w:rsid w:val="00D13882"/>
    <w:rsid w:val="00D149FD"/>
    <w:rsid w:val="00D15984"/>
    <w:rsid w:val="00D275B3"/>
    <w:rsid w:val="00D41911"/>
    <w:rsid w:val="00D4627A"/>
    <w:rsid w:val="00D70C9A"/>
    <w:rsid w:val="00D721D4"/>
    <w:rsid w:val="00D75282"/>
    <w:rsid w:val="00D8068E"/>
    <w:rsid w:val="00D84DAD"/>
    <w:rsid w:val="00D91065"/>
    <w:rsid w:val="00D93FC4"/>
    <w:rsid w:val="00DA031C"/>
    <w:rsid w:val="00DC529C"/>
    <w:rsid w:val="00DC5C09"/>
    <w:rsid w:val="00DF1501"/>
    <w:rsid w:val="00E24717"/>
    <w:rsid w:val="00E33DBF"/>
    <w:rsid w:val="00E347C9"/>
    <w:rsid w:val="00E52BBE"/>
    <w:rsid w:val="00E55D0F"/>
    <w:rsid w:val="00E56031"/>
    <w:rsid w:val="00E57450"/>
    <w:rsid w:val="00E7373C"/>
    <w:rsid w:val="00E76C2C"/>
    <w:rsid w:val="00E970BF"/>
    <w:rsid w:val="00EA0CB7"/>
    <w:rsid w:val="00EA7F0D"/>
    <w:rsid w:val="00EC3110"/>
    <w:rsid w:val="00EC6A4B"/>
    <w:rsid w:val="00ED3E2E"/>
    <w:rsid w:val="00EF2DEE"/>
    <w:rsid w:val="00F013FF"/>
    <w:rsid w:val="00F14B98"/>
    <w:rsid w:val="00F31307"/>
    <w:rsid w:val="00F36158"/>
    <w:rsid w:val="00F40EA7"/>
    <w:rsid w:val="00F4108D"/>
    <w:rsid w:val="00F57E35"/>
    <w:rsid w:val="00F7237F"/>
    <w:rsid w:val="00F84221"/>
    <w:rsid w:val="00F8510F"/>
    <w:rsid w:val="00F87946"/>
    <w:rsid w:val="00F91228"/>
    <w:rsid w:val="00F968DD"/>
    <w:rsid w:val="00FA4D77"/>
    <w:rsid w:val="00FB0BB5"/>
    <w:rsid w:val="00FD0AF3"/>
    <w:rsid w:val="00FE1F40"/>
    <w:rsid w:val="120329D8"/>
    <w:rsid w:val="19AF5A77"/>
    <w:rsid w:val="1C147426"/>
    <w:rsid w:val="27C6110D"/>
    <w:rsid w:val="2FFD7B1D"/>
    <w:rsid w:val="36323860"/>
    <w:rsid w:val="4362090A"/>
    <w:rsid w:val="437A4F59"/>
    <w:rsid w:val="4DED597B"/>
    <w:rsid w:val="4F3B332E"/>
    <w:rsid w:val="5C231BE1"/>
    <w:rsid w:val="5CBB435E"/>
    <w:rsid w:val="5D647EF4"/>
    <w:rsid w:val="64FF75F0"/>
    <w:rsid w:val="6DEE7A91"/>
    <w:rsid w:val="7EFC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unhideWhenUsed/>
    <w:qFormat/>
    <w:uiPriority w:val="99"/>
    <w:pPr>
      <w:widowControl/>
      <w:snapToGrid w:val="0"/>
      <w:spacing w:line="579" w:lineRule="exact"/>
      <w:ind w:firstLine="200" w:firstLineChars="200"/>
      <w:jc w:val="left"/>
    </w:pPr>
    <w:rPr>
      <w:rFonts w:ascii="Calibri" w:hAnsi="Calibri" w:eastAsia="宋体" w:cs="黑体"/>
      <w:sz w:val="18"/>
    </w:rPr>
  </w:style>
  <w:style w:type="paragraph" w:styleId="3">
    <w:name w:val="Body Text First Indent 2"/>
    <w:basedOn w:val="4"/>
    <w:next w:val="1"/>
    <w:qFormat/>
    <w:uiPriority w:val="0"/>
    <w:pPr>
      <w:spacing w:after="0"/>
      <w:ind w:left="0" w:leftChars="0" w:firstLine="420" w:firstLineChars="200"/>
    </w:pPr>
    <w:rPr>
      <w:rFonts w:ascii="宋体" w:hAnsi="Times New Roman" w:eastAsia="仿宋_GB2312" w:cs="Times New Roman"/>
      <w:sz w:val="32"/>
      <w:szCs w:val="20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16">
    <w:name w:val="日期 Char"/>
    <w:basedOn w:val="11"/>
    <w:link w:val="5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C41DC-6B38-4359-837F-1A54694FEA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5485</Words>
  <Characters>5870</Characters>
  <Lines>46</Lines>
  <Paragraphs>13</Paragraphs>
  <TotalTime>105</TotalTime>
  <ScaleCrop>false</ScaleCrop>
  <LinksUpToDate>false</LinksUpToDate>
  <CharactersWithSpaces>5873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2020-07-09T00:34:00Z</dcterms:created>
  <dc:creator>lfsjj</dc:creator>
  <cp:lastModifiedBy>Administrator</cp:lastModifiedBy>
  <cp:lastPrinted>2024-10-16T01:40:00Z</cp:lastPrinted>
  <dcterms:modified xsi:type="dcterms:W3CDTF">2024-11-07T07:50:19Z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B8874E74352B475D91AF5E2FCA34E048</vt:lpwstr>
  </property>
</Properties>
</file>