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w:t>
      </w:r>
    </w:p>
    <w:p>
      <w:pPr>
        <w:spacing w:line="640" w:lineRule="exact"/>
        <w:rPr>
          <w:rFonts w:hint="default" w:ascii="仿宋" w:hAnsi="仿宋" w:eastAsia="仿宋" w:cs="仿宋"/>
          <w:color w:val="auto"/>
          <w:sz w:val="32"/>
          <w:szCs w:val="32"/>
          <w:lang w:val="en-US" w:eastAsia="zh-CN"/>
        </w:rPr>
      </w:pPr>
    </w:p>
    <w:p>
      <w:pPr>
        <w:spacing w:line="640" w:lineRule="exact"/>
        <w:jc w:val="center"/>
        <w:rPr>
          <w:rFonts w:hint="eastAsia" w:ascii="方正小标宋简体" w:hAnsi="方正小标宋简体" w:eastAsia="方正小标宋简体" w:cs="方正小标宋简体"/>
          <w:color w:val="auto"/>
          <w:sz w:val="40"/>
          <w:szCs w:val="40"/>
          <w:lang w:val="en-US" w:eastAsia="zh-CN"/>
        </w:rPr>
      </w:pPr>
      <w:r>
        <w:rPr>
          <w:rFonts w:hint="eastAsia" w:ascii="方正小标宋简体" w:hAnsi="方正小标宋简体" w:eastAsia="方正小标宋简体" w:cs="方正小标宋简体"/>
          <w:color w:val="auto"/>
          <w:sz w:val="40"/>
          <w:szCs w:val="40"/>
          <w:lang w:val="en-US" w:eastAsia="zh-CN"/>
        </w:rPr>
        <w:t>陆丰市电水气有线电视网“一次办”实施办法</w:t>
      </w:r>
    </w:p>
    <w:p>
      <w:pPr>
        <w:spacing w:line="640" w:lineRule="exact"/>
        <w:jc w:val="center"/>
        <w:rPr>
          <w:rFonts w:hint="default" w:ascii="仿宋" w:hAnsi="仿宋" w:eastAsia="仿宋" w:cs="仿宋"/>
          <w:color w:val="auto"/>
          <w:sz w:val="32"/>
          <w:szCs w:val="32"/>
          <w:lang w:val="en-US" w:eastAsia="zh-CN"/>
        </w:rPr>
      </w:pPr>
    </w:p>
    <w:p>
      <w:pPr>
        <w:spacing w:line="640" w:lineRule="exact"/>
        <w:ind w:firstLine="640" w:firstLineChars="200"/>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为了进一步优化我市营商环境，提高全市供电供水供气供网报装服务质量和效率，增强市场主体的满意度和获得感，现制定本实施办法。</w:t>
      </w:r>
    </w:p>
    <w:p>
      <w:pPr>
        <w:spacing w:line="640" w:lineRule="exact"/>
        <w:ind w:firstLine="643" w:firstLineChars="200"/>
        <w:rPr>
          <w:rFonts w:hint="default" w:ascii="仿宋" w:hAnsi="仿宋" w:eastAsia="仿宋" w:cs="仿宋"/>
          <w:b/>
          <w:bCs/>
          <w:color w:val="auto"/>
          <w:sz w:val="32"/>
          <w:szCs w:val="32"/>
          <w:lang w:val="en-US" w:eastAsia="zh-CN"/>
        </w:rPr>
      </w:pPr>
      <w:r>
        <w:rPr>
          <w:rFonts w:hint="default" w:ascii="仿宋" w:hAnsi="仿宋" w:eastAsia="仿宋" w:cs="仿宋"/>
          <w:b/>
          <w:bCs/>
          <w:color w:val="auto"/>
          <w:sz w:val="32"/>
          <w:szCs w:val="32"/>
          <w:lang w:val="en-US" w:eastAsia="zh-CN"/>
        </w:rPr>
        <w:t>一、工作目标</w:t>
      </w:r>
    </w:p>
    <w:p>
      <w:pPr>
        <w:spacing w:line="640" w:lineRule="exact"/>
        <w:ind w:firstLine="640" w:firstLineChars="200"/>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通过“一网通办、一窗受理、一张表单、一套资料”创新工作举措，统一电水气</w:t>
      </w:r>
      <w:r>
        <w:rPr>
          <w:rFonts w:hint="eastAsia" w:ascii="仿宋_GB2312" w:hAnsi="仿宋_GB2312" w:eastAsia="仿宋_GB2312" w:cs="仿宋_GB2312"/>
          <w:color w:val="auto"/>
          <w:sz w:val="32"/>
          <w:szCs w:val="32"/>
          <w:lang w:val="en-US" w:eastAsia="zh-CN"/>
        </w:rPr>
        <w:t>有线电视</w:t>
      </w:r>
      <w:r>
        <w:rPr>
          <w:rFonts w:hint="default" w:ascii="仿宋_GB2312" w:hAnsi="仿宋_GB2312" w:eastAsia="仿宋_GB2312" w:cs="仿宋_GB2312"/>
          <w:color w:val="auto"/>
          <w:sz w:val="32"/>
          <w:szCs w:val="32"/>
          <w:lang w:val="en-US" w:eastAsia="zh-CN"/>
        </w:rPr>
        <w:t>网报装业务，依托汕尾市工程建设项目审批管理系统，推进线上线下有机融合，实现电水气</w:t>
      </w:r>
      <w:r>
        <w:rPr>
          <w:rFonts w:hint="eastAsia" w:ascii="仿宋_GB2312" w:hAnsi="仿宋_GB2312" w:eastAsia="仿宋_GB2312" w:cs="仿宋_GB2312"/>
          <w:color w:val="auto"/>
          <w:sz w:val="32"/>
          <w:szCs w:val="32"/>
          <w:lang w:val="en-US" w:eastAsia="zh-CN"/>
        </w:rPr>
        <w:t>有线电视</w:t>
      </w:r>
      <w:r>
        <w:rPr>
          <w:rFonts w:hint="default" w:ascii="仿宋_GB2312" w:hAnsi="仿宋_GB2312" w:eastAsia="仿宋_GB2312" w:cs="仿宋_GB2312"/>
          <w:color w:val="auto"/>
          <w:sz w:val="32"/>
          <w:szCs w:val="32"/>
          <w:lang w:val="en-US" w:eastAsia="zh-CN"/>
        </w:rPr>
        <w:t>网报装便利化，切实提升企业满意度和获得感，持续优化营商环境。</w:t>
      </w:r>
    </w:p>
    <w:p>
      <w:pPr>
        <w:spacing w:line="640" w:lineRule="exact"/>
        <w:ind w:firstLine="643" w:firstLineChars="200"/>
        <w:rPr>
          <w:rFonts w:hint="default" w:ascii="仿宋" w:hAnsi="仿宋" w:eastAsia="仿宋" w:cs="仿宋"/>
          <w:b/>
          <w:bCs/>
          <w:color w:val="auto"/>
          <w:sz w:val="32"/>
          <w:szCs w:val="32"/>
          <w:lang w:val="en-US" w:eastAsia="zh-CN"/>
        </w:rPr>
      </w:pPr>
      <w:r>
        <w:rPr>
          <w:rFonts w:hint="default" w:ascii="仿宋" w:hAnsi="仿宋" w:eastAsia="仿宋" w:cs="仿宋"/>
          <w:b/>
          <w:bCs/>
          <w:color w:val="auto"/>
          <w:sz w:val="32"/>
          <w:szCs w:val="32"/>
          <w:lang w:val="en-US" w:eastAsia="zh-CN"/>
        </w:rPr>
        <w:t>二、适用范围</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实施细则适用于市域内各类企业、非居民个体用户办理新建、改建、扩建房屋建筑工程和市政基础设施工程的，涉及供电、供水、供气、电视、供网等市政公用基础设施报装接入服务。企业用户可结合实际需要提出电水气有线电视网联合报装申请，按照本实施办法规定办理;对不需要联合报装的，可按国家、省、市电水气有线电视网报装有关规定办理。</w:t>
      </w:r>
    </w:p>
    <w:p>
      <w:pPr>
        <w:spacing w:line="640" w:lineRule="exact"/>
        <w:ind w:firstLine="643" w:firstLineChars="200"/>
        <w:rPr>
          <w:rFonts w:hint="default" w:ascii="仿宋" w:hAnsi="仿宋" w:eastAsia="仿宋" w:cs="仿宋"/>
          <w:b/>
          <w:bCs/>
          <w:color w:val="auto"/>
          <w:sz w:val="32"/>
          <w:szCs w:val="32"/>
          <w:lang w:val="en-US" w:eastAsia="zh-CN"/>
        </w:rPr>
      </w:pPr>
      <w:r>
        <w:rPr>
          <w:rFonts w:hint="default" w:ascii="仿宋" w:hAnsi="仿宋" w:eastAsia="仿宋" w:cs="仿宋"/>
          <w:b/>
          <w:bCs/>
          <w:color w:val="auto"/>
          <w:sz w:val="32"/>
          <w:szCs w:val="32"/>
          <w:lang w:val="en-US" w:eastAsia="zh-CN"/>
        </w:rPr>
        <w:t>三、工作措施</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提前服务。项目立项批复主管部门在完成项目立项批复后将批复结果共享至汕尾市工程建设审批系统，与供电、供水、供气、电视、供网企业共享企业用户的项目信息。各供应企业应主动对接用户报装意向，依据用户需求参与投资项目的前期规划设计编制工作及设计方案审查工作，并提出相关意见反馈给用户，完善项目规划设计方案，提前做好外线报装筹备工作。</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申请受理。市政务服务中心开设电水气有线电视网联合报装窗口(以下简称窗口)，窗口人员由市政务服务中心派员坐席，受理电水气有线电视网联合报装业务，依托汕尾市工程建设项目审批管理系统，实现联合报装。电水气有线电视网报装接入环节优化为2个环节(申请受理、竣工接通)，缩减至2个工作日内完成接入(申请受理1个工作日、竣工接通1个工作日)。</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(三)联合踏勘。涉及有外线工程的项目，由业务牵头企业负责牵头组织相关企业联合开展踏勘工作。业务牵头企业顺序为：1.供电企业、2.供水企业、3.供气企业、4.供网企业、5.有线电视企业。</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(四)优化施工方案。各企业在编制施工方案时应充分考虑联合施工、设备共享。业务牵头企业要统筹各相关企业做好施工方案优化工作。</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联合验收。在条件允许的情况下，电水气有线电视网外线报装工程应实行联合验收。由受理该申报项目的业务牵头企业负责组织报装企业用户、电水气有线电视网企业及其施工单位共同验收，提高验收的效率。</w:t>
      </w:r>
    </w:p>
    <w:p>
      <w:pPr>
        <w:spacing w:line="640" w:lineRule="exact"/>
        <w:ind w:firstLine="643" w:firstLineChars="200"/>
        <w:rPr>
          <w:rFonts w:hint="default" w:ascii="仿宋" w:hAnsi="仿宋" w:eastAsia="仿宋" w:cs="仿宋"/>
          <w:b/>
          <w:bCs/>
          <w:color w:val="auto"/>
          <w:sz w:val="32"/>
          <w:szCs w:val="32"/>
          <w:lang w:val="en-US" w:eastAsia="zh-CN"/>
        </w:rPr>
      </w:pPr>
      <w:r>
        <w:rPr>
          <w:rFonts w:hint="default" w:ascii="仿宋" w:hAnsi="仿宋" w:eastAsia="仿宋" w:cs="仿宋"/>
          <w:b/>
          <w:bCs/>
          <w:color w:val="auto"/>
          <w:sz w:val="32"/>
          <w:szCs w:val="32"/>
          <w:lang w:val="en-US" w:eastAsia="zh-CN"/>
        </w:rPr>
        <w:t>五、保障措施</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加强组织领导。电水气有线电视网联动报装改革是提升营商环境便利化水平、优化营商环境的重要举措，各相关部门要加强统筹协调,压实电水气有线电视网企业落实主体责任,细化工作目标，优化工作流程，切实推动电水气有线电视网联动报装改革。</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强化技术支撑。市发改局、市住建局、市科工信局、市政数局、市水务局等部门要充分履行职能，加强对电水气有线电视网“一次办”的技术支撑工作，协助供电、供水、供气、电视、供网企业做好相关系统对接、系统升级、工作联动等工作，实现联合报装全流程电子化运转，法律法规、办事指南和标准规范集中公开，保障各项措施的顺利实施。</w:t>
      </w:r>
    </w:p>
    <w:p>
      <w:pPr>
        <w:spacing w:line="6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健全工作机制。各相关部门要建立健全电水气有线电视网“一次办”会商机制和全过程监管机制,及时解决工作推进中的问题和困难，促进电水气有线电视网“一次办”工作取得实效，营造创一流营商环境的良好氛围。</w:t>
      </w:r>
    </w:p>
    <w:p>
      <w:pPr>
        <w:spacing w:line="640" w:lineRule="exact"/>
        <w:ind w:firstLine="640" w:firstLineChars="200"/>
        <w:jc w:val="left"/>
        <w:rPr>
          <w:rFonts w:hint="eastAsia" w:ascii="华文楷体" w:hAnsi="华文楷体" w:eastAsia="华文楷体" w:cs="华文楷体"/>
          <w:color w:val="auto"/>
          <w:sz w:val="32"/>
          <w:szCs w:val="32"/>
          <w:lang w:val="en-US" w:eastAsia="zh-CN"/>
        </w:rPr>
      </w:pPr>
    </w:p>
    <w:p>
      <w:pPr>
        <w:spacing w:line="640" w:lineRule="exact"/>
        <w:ind w:firstLine="640" w:firstLineChars="200"/>
        <w:jc w:val="left"/>
        <w:rPr>
          <w:rFonts w:hint="eastAsia" w:ascii="华文楷体" w:hAnsi="华文楷体" w:eastAsia="华文楷体" w:cs="华文楷体"/>
          <w:color w:val="auto"/>
          <w:sz w:val="32"/>
          <w:szCs w:val="32"/>
          <w:lang w:val="en-US" w:eastAsia="zh-CN"/>
        </w:rPr>
      </w:pPr>
    </w:p>
    <w:p>
      <w:pPr>
        <w:spacing w:line="640" w:lineRule="exact"/>
        <w:ind w:firstLine="640" w:firstLineChars="200"/>
        <w:jc w:val="left"/>
        <w:rPr>
          <w:rFonts w:hint="eastAsia" w:ascii="华文楷体" w:hAnsi="华文楷体" w:eastAsia="华文楷体" w:cs="华文楷体"/>
          <w:color w:val="auto"/>
          <w:sz w:val="32"/>
          <w:szCs w:val="32"/>
          <w:lang w:val="en-US" w:eastAsia="zh-CN"/>
        </w:rPr>
      </w:pPr>
      <w:r>
        <w:rPr>
          <w:rFonts w:hint="eastAsia" w:ascii="华文楷体" w:hAnsi="华文楷体" w:eastAsia="华文楷体" w:cs="华文楷体"/>
          <w:color w:val="auto"/>
          <w:sz w:val="32"/>
          <w:szCs w:val="32"/>
          <w:lang w:val="en-US" w:eastAsia="zh-CN"/>
        </w:rPr>
        <w:t>附件：1.企业用户电水气有线电视网联合报装业务申请表</w:t>
      </w:r>
    </w:p>
    <w:p>
      <w:pPr>
        <w:numPr>
          <w:ilvl w:val="0"/>
          <w:numId w:val="0"/>
        </w:numPr>
        <w:spacing w:line="640" w:lineRule="exact"/>
        <w:ind w:left="1916" w:leftChars="760" w:hanging="320" w:hangingChars="100"/>
        <w:jc w:val="left"/>
        <w:rPr>
          <w:rFonts w:hint="eastAsia" w:ascii="华文楷体" w:hAnsi="华文楷体" w:eastAsia="华文楷体" w:cs="华文楷体"/>
          <w:color w:val="auto"/>
          <w:sz w:val="32"/>
          <w:szCs w:val="32"/>
          <w:lang w:val="en-US" w:eastAsia="zh-CN"/>
        </w:rPr>
      </w:pPr>
      <w:r>
        <w:rPr>
          <w:rFonts w:hint="eastAsia" w:ascii="华文楷体" w:hAnsi="华文楷体" w:eastAsia="华文楷体" w:cs="华文楷体"/>
          <w:snapToGrid w:val="0"/>
          <w:color w:val="auto"/>
          <w:kern w:val="2"/>
          <w:sz w:val="32"/>
          <w:szCs w:val="32"/>
          <w:lang w:val="en-US" w:eastAsia="zh-CN" w:bidi="ar-SA"/>
        </w:rPr>
        <w:t>2.</w:t>
      </w:r>
      <w:r>
        <w:rPr>
          <w:rFonts w:hint="eastAsia" w:ascii="华文楷体" w:hAnsi="华文楷体" w:eastAsia="华文楷体" w:cs="华文楷体"/>
          <w:color w:val="auto"/>
          <w:sz w:val="32"/>
          <w:szCs w:val="32"/>
          <w:lang w:val="en-US" w:eastAsia="zh-CN"/>
        </w:rPr>
        <w:t>企业用户电水气有线电视网联合报装申请材料清单</w:t>
      </w: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r>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t xml:space="preserve"> </w:t>
      </w: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keepNext w:val="0"/>
        <w:keepLines w:val="0"/>
        <w:widowControl/>
        <w:suppressLineNumbers w:val="0"/>
        <w:jc w:val="left"/>
        <w:rPr>
          <w:rFonts w:hint="eastAsia" w:ascii="黑体" w:hAnsi="宋体" w:eastAsia="黑体" w:cs="黑体"/>
          <w:snapToGrid w:val="0"/>
          <w:color w:val="FFFFFF" w:themeColor="background1"/>
          <w:kern w:val="0"/>
          <w:sz w:val="31"/>
          <w:szCs w:val="31"/>
          <w:lang w:val="en-US" w:eastAsia="zh-CN" w:bidi="ar"/>
          <w14:textFill>
            <w14:solidFill>
              <w14:schemeClr w14:val="bg1"/>
            </w14:solidFill>
          </w14:textFill>
        </w:rPr>
      </w:pPr>
    </w:p>
    <w:p>
      <w:pPr>
        <w:rPr>
          <w:rFonts w:hint="eastAsia" w:ascii="黑体" w:hAnsi="宋体" w:eastAsia="黑体" w:cs="黑体"/>
          <w:snapToGrid w:val="0"/>
          <w:color w:val="auto"/>
          <w:kern w:val="0"/>
          <w:sz w:val="31"/>
          <w:szCs w:val="31"/>
          <w:lang w:val="en-US" w:eastAsia="zh-CN" w:bidi="ar"/>
        </w:rPr>
      </w:pPr>
      <w:r>
        <w:rPr>
          <w:rFonts w:hint="eastAsia" w:ascii="黑体" w:hAnsi="宋体" w:eastAsia="黑体" w:cs="黑体"/>
          <w:snapToGrid w:val="0"/>
          <w:color w:val="auto"/>
          <w:kern w:val="0"/>
          <w:sz w:val="31"/>
          <w:szCs w:val="31"/>
          <w:lang w:val="en-US" w:eastAsia="zh-CN" w:bidi="ar"/>
        </w:rPr>
        <w:br w:type="page"/>
      </w:r>
    </w:p>
    <w:p>
      <w:pPr>
        <w:keepNext w:val="0"/>
        <w:keepLines w:val="0"/>
        <w:widowControl/>
        <w:suppressLineNumbers w:val="0"/>
        <w:jc w:val="left"/>
        <w:rPr>
          <w:rFonts w:hint="eastAsia" w:ascii="黑体" w:hAnsi="宋体" w:eastAsia="黑体" w:cs="黑体"/>
          <w:snapToGrid w:val="0"/>
          <w:color w:val="auto"/>
          <w:kern w:val="0"/>
          <w:sz w:val="31"/>
          <w:szCs w:val="31"/>
          <w:lang w:val="en-US" w:eastAsia="zh-CN" w:bidi="ar"/>
        </w:rPr>
      </w:pPr>
      <w:r>
        <w:rPr>
          <w:rFonts w:hint="eastAsia" w:ascii="黑体" w:hAnsi="宋体" w:eastAsia="黑体" w:cs="黑体"/>
          <w:snapToGrid w:val="0"/>
          <w:color w:val="auto"/>
          <w:kern w:val="0"/>
          <w:sz w:val="31"/>
          <w:szCs w:val="31"/>
          <w:lang w:val="en-US" w:eastAsia="zh-CN" w:bidi="ar"/>
        </w:rPr>
        <w:t>附件1</w:t>
      </w:r>
    </w:p>
    <w:p>
      <w:pPr>
        <w:keepNext w:val="0"/>
        <w:keepLines w:val="0"/>
        <w:widowControl/>
        <w:suppressLineNumbers w:val="0"/>
        <w:jc w:val="center"/>
        <w:rPr>
          <w:rFonts w:ascii="方正小标宋简体" w:hAnsi="方正小标宋简体" w:eastAsia="方正小标宋简体" w:cs="方正小标宋简体"/>
          <w:snapToGrid w:val="0"/>
          <w:color w:val="auto"/>
          <w:kern w:val="0"/>
          <w:sz w:val="40"/>
          <w:szCs w:val="40"/>
          <w:lang w:val="en-US" w:eastAsia="zh-CN" w:bidi="ar"/>
        </w:rPr>
      </w:pPr>
      <w:r>
        <w:rPr>
          <w:rFonts w:ascii="方正小标宋简体" w:hAnsi="方正小标宋简体" w:eastAsia="方正小标宋简体" w:cs="方正小标宋简体"/>
          <w:snapToGrid w:val="0"/>
          <w:color w:val="auto"/>
          <w:kern w:val="0"/>
          <w:sz w:val="40"/>
          <w:szCs w:val="40"/>
          <w:lang w:val="en-US" w:eastAsia="zh-CN" w:bidi="ar"/>
        </w:rPr>
        <w:t>企业用户电水气</w:t>
      </w:r>
      <w:r>
        <w:rPr>
          <w:rFonts w:hint="eastAsia" w:ascii="方正小标宋简体" w:hAnsi="方正小标宋简体" w:eastAsia="方正小标宋简体" w:cs="方正小标宋简体"/>
          <w:snapToGrid w:val="0"/>
          <w:color w:val="auto"/>
          <w:kern w:val="0"/>
          <w:sz w:val="40"/>
          <w:szCs w:val="40"/>
          <w:lang w:val="en-US" w:eastAsia="zh-CN" w:bidi="ar"/>
        </w:rPr>
        <w:t>有线电视</w:t>
      </w:r>
      <w:r>
        <w:rPr>
          <w:rFonts w:ascii="方正小标宋简体" w:hAnsi="方正小标宋简体" w:eastAsia="方正小标宋简体" w:cs="方正小标宋简体"/>
          <w:snapToGrid w:val="0"/>
          <w:color w:val="auto"/>
          <w:kern w:val="0"/>
          <w:sz w:val="40"/>
          <w:szCs w:val="40"/>
          <w:lang w:val="en-US" w:eastAsia="zh-CN" w:bidi="ar"/>
        </w:rPr>
        <w:t>网联合报装业务申请表</w:t>
      </w:r>
    </w:p>
    <w:tbl>
      <w:tblPr>
        <w:tblStyle w:val="6"/>
        <w:tblpPr w:leftFromText="180" w:rightFromText="180" w:vertAnchor="text" w:horzAnchor="page" w:tblpX="1811" w:tblpY="126"/>
        <w:tblOverlap w:val="never"/>
        <w:tblW w:w="512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0"/>
        <w:gridCol w:w="867"/>
        <w:gridCol w:w="1273"/>
        <w:gridCol w:w="1089"/>
        <w:gridCol w:w="1162"/>
        <w:gridCol w:w="1199"/>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0"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lang w:val="en-US" w:eastAsia="zh-CN"/>
              </w:rPr>
              <w:t>申请单位</w:t>
            </w:r>
          </w:p>
        </w:tc>
        <w:tc>
          <w:tcPr>
            <w:tcW w:w="1196" w:type="pct"/>
            <w:gridSpan w:val="2"/>
            <w:vAlign w:val="center"/>
          </w:tcPr>
          <w:p>
            <w:pPr>
              <w:numPr>
                <w:ilvl w:val="0"/>
                <w:numId w:val="0"/>
              </w:numPr>
              <w:spacing w:line="640" w:lineRule="exact"/>
              <w:jc w:val="center"/>
              <w:rPr>
                <w:rFonts w:hint="eastAsia" w:asciiTheme="minorEastAsia" w:hAnsiTheme="minorEastAsia" w:eastAsiaTheme="minorEastAsia" w:cstheme="minorEastAsia"/>
                <w:color w:val="auto"/>
                <w:sz w:val="24"/>
                <w:szCs w:val="24"/>
                <w:vertAlign w:val="baseline"/>
                <w:lang w:val="en-US" w:eastAsia="zh-CN"/>
              </w:rPr>
            </w:pPr>
          </w:p>
        </w:tc>
        <w:tc>
          <w:tcPr>
            <w:tcW w:w="1258" w:type="pct"/>
            <w:gridSpan w:val="2"/>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lang w:val="en-US" w:eastAsia="zh-CN"/>
              </w:rPr>
              <w:t>信用代码</w:t>
            </w:r>
          </w:p>
        </w:tc>
        <w:tc>
          <w:tcPr>
            <w:tcW w:w="1313" w:type="pct"/>
            <w:gridSpan w:val="2"/>
            <w:vAlign w:val="center"/>
          </w:tcPr>
          <w:p>
            <w:pPr>
              <w:numPr>
                <w:ilvl w:val="0"/>
                <w:numId w:val="0"/>
              </w:numPr>
              <w:spacing w:line="640" w:lineRule="exact"/>
              <w:jc w:val="center"/>
              <w:rPr>
                <w:rFonts w:hint="eastAsia" w:asciiTheme="minorEastAsia" w:hAnsiTheme="minorEastAsia" w:eastAsiaTheme="minorEastAsia" w:cstheme="minorEastAsia"/>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0"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申请地址</w:t>
            </w:r>
          </w:p>
        </w:tc>
        <w:tc>
          <w:tcPr>
            <w:tcW w:w="3769" w:type="pct"/>
            <w:gridSpan w:val="6"/>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县（市、区）     镇（街道）      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0"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预约踏勘</w:t>
            </w:r>
          </w:p>
        </w:tc>
        <w:tc>
          <w:tcPr>
            <w:tcW w:w="3769" w:type="pct"/>
            <w:gridSpan w:val="6"/>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年   月    日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0"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联系人</w:t>
            </w:r>
          </w:p>
        </w:tc>
        <w:tc>
          <w:tcPr>
            <w:tcW w:w="1196" w:type="pct"/>
            <w:gridSpan w:val="2"/>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p>
        </w:tc>
        <w:tc>
          <w:tcPr>
            <w:tcW w:w="1258" w:type="pct"/>
            <w:gridSpan w:val="2"/>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联系电话</w:t>
            </w:r>
          </w:p>
        </w:tc>
        <w:tc>
          <w:tcPr>
            <w:tcW w:w="1313" w:type="pct"/>
            <w:gridSpan w:val="2"/>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0"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项目代码</w:t>
            </w:r>
          </w:p>
        </w:tc>
        <w:tc>
          <w:tcPr>
            <w:tcW w:w="3769" w:type="pct"/>
            <w:gridSpan w:val="6"/>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0"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申请联合报装内容</w:t>
            </w:r>
          </w:p>
        </w:tc>
        <w:tc>
          <w:tcPr>
            <w:tcW w:w="3769" w:type="pct"/>
            <w:gridSpan w:val="6"/>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□用电报装□用水报装□天然气报装□网络报装 □有限电视报装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keepNext w:val="0"/>
              <w:keepLines w:val="0"/>
              <w:widowControl/>
              <w:suppressLineNumbers w:val="0"/>
              <w:jc w:val="both"/>
              <w:rPr>
                <w:rFonts w:hint="eastAsia"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b/>
                <w:bCs/>
                <w:snapToGrid w:val="0"/>
                <w:color w:val="auto"/>
                <w:kern w:val="0"/>
                <w:sz w:val="24"/>
                <w:szCs w:val="24"/>
                <w:lang w:val="en-US" w:eastAsia="zh-CN" w:bidi="ar"/>
              </w:rPr>
              <w:t>用电报装资料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业务类型：□新装 □增容 □ 临时用电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27" w:type="pct"/>
            <w:gridSpan w:val="3"/>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主供容量：  千伏安（千瓦）</w:t>
            </w:r>
          </w:p>
        </w:tc>
        <w:tc>
          <w:tcPr>
            <w:tcW w:w="2572" w:type="pct"/>
            <w:gridSpan w:val="4"/>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备供容量： 千伏安（千瓦）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b/>
                <w:bCs/>
                <w:snapToGrid w:val="0"/>
                <w:color w:val="auto"/>
                <w:kern w:val="0"/>
                <w:sz w:val="24"/>
                <w:szCs w:val="24"/>
                <w:lang w:val="en-US" w:eastAsia="zh-CN" w:bidi="ar"/>
              </w:rPr>
              <w:t>用水报装资料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业务类型：□新开户   □扩容    □临时用水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27" w:type="pct"/>
            <w:gridSpan w:val="3"/>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供水需求：   吨 /日</w:t>
            </w:r>
          </w:p>
        </w:tc>
        <w:tc>
          <w:tcPr>
            <w:tcW w:w="2572" w:type="pct"/>
            <w:gridSpan w:val="4"/>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是否需要双路供水：□是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b/>
                <w:bCs/>
                <w:snapToGrid w:val="0"/>
                <w:color w:val="auto"/>
                <w:kern w:val="0"/>
                <w:sz w:val="24"/>
                <w:szCs w:val="24"/>
                <w:lang w:val="en-US" w:eastAsia="zh-CN" w:bidi="ar"/>
              </w:rPr>
              <w:t>用网登记资料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业务类型： □新开户  □扩容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业务经营企业：  □电信  □移动  □联通  □广电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keepNext w:val="0"/>
              <w:keepLines w:val="0"/>
              <w:widowControl/>
              <w:suppressLineNumbers w:val="0"/>
              <w:jc w:val="left"/>
              <w:rPr>
                <w:rFonts w:hint="eastAsia"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b/>
                <w:bCs/>
                <w:snapToGrid w:val="0"/>
                <w:color w:val="auto"/>
                <w:kern w:val="0"/>
                <w:sz w:val="24"/>
                <w:szCs w:val="24"/>
                <w:lang w:val="en-US" w:eastAsia="zh-CN" w:bidi="ar"/>
              </w:rPr>
              <w:t>用天然气设备名称资料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0" w:type="pct"/>
            <w:vMerge w:val="restar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设备名称</w:t>
            </w:r>
          </w:p>
        </w:tc>
        <w:tc>
          <w:tcPr>
            <w:tcW w:w="484" w:type="pct"/>
            <w:vMerge w:val="restar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数量</w:t>
            </w:r>
          </w:p>
        </w:tc>
        <w:tc>
          <w:tcPr>
            <w:tcW w:w="711" w:type="pct"/>
            <w:vMerge w:val="restar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燃烧器口径</w:t>
            </w:r>
          </w:p>
        </w:tc>
        <w:tc>
          <w:tcPr>
            <w:tcW w:w="1258" w:type="pct"/>
            <w:gridSpan w:val="2"/>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用气压力（KPA）</w:t>
            </w:r>
          </w:p>
        </w:tc>
        <w:tc>
          <w:tcPr>
            <w:tcW w:w="1313" w:type="pct"/>
            <w:gridSpan w:val="2"/>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天然气负荷（方/小时）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0" w:type="pct"/>
            <w:vMerge w:val="continue"/>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p>
        </w:tc>
        <w:tc>
          <w:tcPr>
            <w:tcW w:w="484" w:type="pct"/>
            <w:vMerge w:val="continue"/>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p>
        </w:tc>
        <w:tc>
          <w:tcPr>
            <w:tcW w:w="711" w:type="pct"/>
            <w:vMerge w:val="continue"/>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p>
        </w:tc>
        <w:tc>
          <w:tcPr>
            <w:tcW w:w="609"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工作</w:t>
            </w:r>
          </w:p>
        </w:tc>
        <w:tc>
          <w:tcPr>
            <w:tcW w:w="649"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设备</w:t>
            </w:r>
          </w:p>
        </w:tc>
        <w:tc>
          <w:tcPr>
            <w:tcW w:w="670"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正常工作</w:t>
            </w:r>
          </w:p>
        </w:tc>
        <w:tc>
          <w:tcPr>
            <w:tcW w:w="643" w:type="pct"/>
            <w:vAlign w:val="center"/>
          </w:tcPr>
          <w:p>
            <w:pPr>
              <w:keepNext w:val="0"/>
              <w:keepLines w:val="0"/>
              <w:widowControl/>
              <w:suppressLineNumbers w:val="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满负荷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230" w:type="pct"/>
            <w:vAlign w:val="center"/>
          </w:tcPr>
          <w:p>
            <w:pPr>
              <w:numPr>
                <w:ilvl w:val="0"/>
                <w:numId w:val="0"/>
              </w:numPr>
              <w:spacing w:line="640" w:lineRule="exact"/>
              <w:jc w:val="center"/>
              <w:rPr>
                <w:rFonts w:hint="eastAsia" w:asciiTheme="minorEastAsia" w:hAnsiTheme="minorEastAsia" w:eastAsiaTheme="minorEastAsia" w:cstheme="minorEastAsia"/>
                <w:color w:val="auto"/>
                <w:sz w:val="24"/>
                <w:szCs w:val="24"/>
                <w:vertAlign w:val="baseline"/>
                <w:lang w:val="en-US" w:eastAsia="zh-CN"/>
              </w:rPr>
            </w:pPr>
          </w:p>
        </w:tc>
        <w:tc>
          <w:tcPr>
            <w:tcW w:w="484" w:type="pct"/>
            <w:vAlign w:val="center"/>
          </w:tcPr>
          <w:p>
            <w:pPr>
              <w:numPr>
                <w:ilvl w:val="0"/>
                <w:numId w:val="0"/>
              </w:numPr>
              <w:spacing w:line="640" w:lineRule="exact"/>
              <w:jc w:val="center"/>
              <w:rPr>
                <w:rFonts w:hint="eastAsia" w:asciiTheme="minorEastAsia" w:hAnsiTheme="minorEastAsia" w:eastAsiaTheme="minorEastAsia" w:cstheme="minorEastAsia"/>
                <w:color w:val="auto"/>
                <w:sz w:val="24"/>
                <w:szCs w:val="24"/>
                <w:vertAlign w:val="baseline"/>
                <w:lang w:val="en-US" w:eastAsia="zh-CN"/>
              </w:rPr>
            </w:pPr>
          </w:p>
        </w:tc>
        <w:tc>
          <w:tcPr>
            <w:tcW w:w="711" w:type="pct"/>
            <w:vAlign w:val="center"/>
          </w:tcPr>
          <w:p>
            <w:pPr>
              <w:numPr>
                <w:ilvl w:val="0"/>
                <w:numId w:val="0"/>
              </w:numPr>
              <w:spacing w:line="640" w:lineRule="exact"/>
              <w:jc w:val="center"/>
              <w:rPr>
                <w:rFonts w:hint="eastAsia" w:asciiTheme="minorEastAsia" w:hAnsiTheme="minorEastAsia" w:eastAsiaTheme="minorEastAsia" w:cstheme="minorEastAsia"/>
                <w:color w:val="auto"/>
                <w:sz w:val="24"/>
                <w:szCs w:val="24"/>
                <w:vertAlign w:val="baseline"/>
                <w:lang w:val="en-US" w:eastAsia="zh-CN"/>
              </w:rPr>
            </w:pPr>
          </w:p>
        </w:tc>
        <w:tc>
          <w:tcPr>
            <w:tcW w:w="1258" w:type="pct"/>
            <w:gridSpan w:val="2"/>
            <w:vAlign w:val="center"/>
          </w:tcPr>
          <w:p>
            <w:pPr>
              <w:numPr>
                <w:ilvl w:val="0"/>
                <w:numId w:val="0"/>
              </w:numPr>
              <w:spacing w:line="640" w:lineRule="exact"/>
              <w:jc w:val="center"/>
              <w:rPr>
                <w:rFonts w:hint="eastAsia" w:asciiTheme="minorEastAsia" w:hAnsiTheme="minorEastAsia" w:eastAsiaTheme="minorEastAsia" w:cstheme="minorEastAsia"/>
                <w:color w:val="auto"/>
                <w:sz w:val="24"/>
                <w:szCs w:val="24"/>
                <w:vertAlign w:val="baseline"/>
                <w:lang w:val="en-US" w:eastAsia="zh-CN"/>
              </w:rPr>
            </w:pPr>
          </w:p>
        </w:tc>
        <w:tc>
          <w:tcPr>
            <w:tcW w:w="1313" w:type="pct"/>
            <w:gridSpan w:val="2"/>
            <w:vAlign w:val="center"/>
          </w:tcPr>
          <w:p>
            <w:pPr>
              <w:numPr>
                <w:ilvl w:val="0"/>
                <w:numId w:val="0"/>
              </w:numPr>
              <w:spacing w:line="640" w:lineRule="exact"/>
              <w:jc w:val="center"/>
              <w:rPr>
                <w:rFonts w:hint="eastAsia" w:asciiTheme="minorEastAsia" w:hAnsiTheme="minorEastAsia" w:eastAsiaTheme="minorEastAsia" w:cstheme="minorEastAsia"/>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numPr>
                <w:ilvl w:val="0"/>
                <w:numId w:val="0"/>
              </w:numPr>
              <w:spacing w:line="640" w:lineRule="exact"/>
              <w:jc w:val="both"/>
              <w:rPr>
                <w:rFonts w:hint="eastAsia" w:asciiTheme="minorEastAsia" w:hAnsiTheme="minorEastAsia" w:eastAsiaTheme="minorEastAsia" w:cstheme="minorEastAsia"/>
                <w:snapToGrid w:val="0"/>
                <w:color w:val="FFFFFF" w:themeColor="background1"/>
                <w:kern w:val="2"/>
                <w:sz w:val="21"/>
                <w:lang w:val="en-US" w:eastAsia="zh-CN" w:bidi="ar-SA"/>
                <w14:textFill>
                  <w14:solidFill>
                    <w14:schemeClr w14:val="bg1"/>
                  </w14:solidFill>
                </w14:textFill>
              </w:rPr>
            </w:pPr>
            <w:r>
              <w:rPr>
                <w:rFonts w:hint="eastAsia" w:asciiTheme="minorEastAsia" w:hAnsiTheme="minorEastAsia" w:eastAsiaTheme="minorEastAsia" w:cstheme="minorEastAsia"/>
                <w:b/>
                <w:bCs/>
                <w:snapToGrid w:val="0"/>
                <w:color w:val="auto"/>
                <w:kern w:val="0"/>
                <w:sz w:val="24"/>
                <w:szCs w:val="24"/>
                <w:lang w:val="en-US" w:eastAsia="zh-CN" w:bidi="ar"/>
              </w:rPr>
              <w:t>有线电视报装资料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pPr>
              <w:numPr>
                <w:ilvl w:val="0"/>
                <w:numId w:val="0"/>
              </w:numPr>
              <w:spacing w:line="640" w:lineRule="exact"/>
              <w:jc w:val="left"/>
              <w:rPr>
                <w:rFonts w:hint="eastAsia"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lang w:val="en-US" w:eastAsia="zh-CN"/>
              </w:rPr>
              <w:t>业务类型：  □新开户   □扩容</w:t>
            </w:r>
          </w:p>
        </w:tc>
      </w:tr>
    </w:tbl>
    <w:p>
      <w:pPr>
        <w:rPr>
          <w:rFonts w:hint="default" w:ascii="黑体" w:hAnsi="宋体" w:eastAsia="黑体" w:cs="黑体"/>
          <w:snapToGrid w:val="0"/>
          <w:color w:val="auto"/>
          <w:kern w:val="0"/>
          <w:sz w:val="31"/>
          <w:szCs w:val="31"/>
          <w:lang w:val="en-US" w:eastAsia="zh-CN" w:bidi="ar"/>
        </w:rPr>
      </w:pPr>
      <w:r>
        <w:rPr>
          <w:rFonts w:hint="default" w:ascii="黑体" w:hAnsi="宋体" w:eastAsia="黑体" w:cs="黑体"/>
          <w:snapToGrid w:val="0"/>
          <w:color w:val="auto"/>
          <w:kern w:val="0"/>
          <w:sz w:val="31"/>
          <w:szCs w:val="31"/>
          <w:lang w:val="en-US" w:eastAsia="zh-CN" w:bidi="ar"/>
        </w:rPr>
        <w:br w:type="page"/>
      </w:r>
    </w:p>
    <w:p>
      <w:pPr>
        <w:rPr>
          <w:rFonts w:hint="default" w:ascii="黑体" w:hAnsi="宋体" w:eastAsia="黑体" w:cs="黑体"/>
          <w:snapToGrid w:val="0"/>
          <w:color w:val="auto"/>
          <w:kern w:val="0"/>
          <w:sz w:val="11"/>
          <w:szCs w:val="11"/>
          <w:lang w:val="en-US" w:eastAsia="zh-CN" w:bidi="ar"/>
        </w:rPr>
      </w:pPr>
      <w:bookmarkStart w:id="0" w:name="_GoBack"/>
      <w:bookmarkEnd w:id="0"/>
      <w:r>
        <w:rPr>
          <w:rFonts w:hint="default" w:ascii="黑体" w:hAnsi="宋体" w:eastAsia="黑体" w:cs="黑体"/>
          <w:snapToGrid w:val="0"/>
          <w:color w:val="auto"/>
          <w:kern w:val="0"/>
          <w:sz w:val="31"/>
          <w:szCs w:val="31"/>
          <w:lang w:val="en-US" w:eastAsia="zh-CN" w:bidi="ar"/>
        </w:rPr>
        <w:t>附件 2</w:t>
      </w:r>
    </w:p>
    <w:p>
      <w:pPr>
        <w:keepNext w:val="0"/>
        <w:keepLines w:val="0"/>
        <w:widowControl/>
        <w:suppressLineNumbers w:val="0"/>
        <w:jc w:val="center"/>
        <w:rPr>
          <w:rFonts w:hint="default" w:ascii="方正小标宋简体" w:hAnsi="方正小标宋简体" w:eastAsia="方正小标宋简体" w:cs="方正小标宋简体"/>
          <w:snapToGrid w:val="0"/>
          <w:color w:val="auto"/>
          <w:kern w:val="0"/>
          <w:sz w:val="48"/>
          <w:szCs w:val="48"/>
          <w:lang w:val="en-US" w:eastAsia="zh-CN" w:bidi="ar"/>
        </w:rPr>
      </w:pPr>
      <w:r>
        <w:rPr>
          <w:rFonts w:hint="default" w:ascii="方正小标宋简体" w:hAnsi="方正小标宋简体" w:eastAsia="方正小标宋简体" w:cs="方正小标宋简体"/>
          <w:snapToGrid w:val="0"/>
          <w:color w:val="auto"/>
          <w:kern w:val="0"/>
          <w:sz w:val="48"/>
          <w:szCs w:val="48"/>
          <w:lang w:val="en-US" w:eastAsia="zh-CN" w:bidi="ar"/>
        </w:rPr>
        <w:t>企业用户</w:t>
      </w:r>
      <w:r>
        <w:rPr>
          <w:rFonts w:hint="eastAsia" w:ascii="方正小标宋简体" w:hAnsi="方正小标宋简体" w:eastAsia="方正小标宋简体" w:cs="方正小标宋简体"/>
          <w:snapToGrid w:val="0"/>
          <w:color w:val="auto"/>
          <w:kern w:val="0"/>
          <w:sz w:val="48"/>
          <w:szCs w:val="48"/>
          <w:lang w:val="en-US" w:eastAsia="zh-CN" w:bidi="ar"/>
        </w:rPr>
        <w:t>电水气有线电视网</w:t>
      </w:r>
      <w:r>
        <w:rPr>
          <w:rFonts w:hint="default" w:ascii="方正小标宋简体" w:hAnsi="方正小标宋简体" w:eastAsia="方正小标宋简体" w:cs="方正小标宋简体"/>
          <w:snapToGrid w:val="0"/>
          <w:color w:val="auto"/>
          <w:kern w:val="0"/>
          <w:sz w:val="48"/>
          <w:szCs w:val="48"/>
          <w:lang w:val="en-US" w:eastAsia="zh-CN" w:bidi="ar"/>
        </w:rPr>
        <w:t>联合报装</w:t>
      </w:r>
    </w:p>
    <w:p>
      <w:pPr>
        <w:keepNext w:val="0"/>
        <w:keepLines w:val="0"/>
        <w:widowControl/>
        <w:suppressLineNumbers w:val="0"/>
        <w:jc w:val="center"/>
        <w:rPr>
          <w:rFonts w:hint="default" w:ascii="方正小标宋简体" w:hAnsi="方正小标宋简体" w:eastAsia="方正小标宋简体" w:cs="方正小标宋简体"/>
          <w:snapToGrid w:val="0"/>
          <w:color w:val="auto"/>
          <w:kern w:val="0"/>
          <w:sz w:val="48"/>
          <w:szCs w:val="48"/>
          <w:lang w:val="en-US" w:eastAsia="zh-CN" w:bidi="ar"/>
        </w:rPr>
      </w:pPr>
      <w:r>
        <w:rPr>
          <w:rFonts w:hint="default" w:ascii="方正小标宋简体" w:hAnsi="方正小标宋简体" w:eastAsia="方正小标宋简体" w:cs="方正小标宋简体"/>
          <w:snapToGrid w:val="0"/>
          <w:color w:val="auto"/>
          <w:kern w:val="0"/>
          <w:sz w:val="48"/>
          <w:szCs w:val="48"/>
          <w:lang w:val="en-US" w:eastAsia="zh-CN" w:bidi="ar"/>
        </w:rPr>
        <w:t>申请材料清单</w:t>
      </w:r>
    </w:p>
    <w:p>
      <w:pPr>
        <w:keepNext w:val="0"/>
        <w:keepLines w:val="0"/>
        <w:widowControl/>
        <w:suppressLineNumbers w:val="0"/>
        <w:jc w:val="center"/>
        <w:rPr>
          <w:rFonts w:hint="default" w:ascii="黑体" w:hAnsi="宋体" w:eastAsia="黑体" w:cs="黑体"/>
          <w:snapToGrid w:val="0"/>
          <w:color w:val="auto"/>
          <w:kern w:val="0"/>
          <w:sz w:val="11"/>
          <w:szCs w:val="11"/>
          <w:lang w:val="en-US" w:eastAsia="zh-CN" w:bidi="ar"/>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9"/>
        <w:gridCol w:w="7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tcPr>
          <w:p>
            <w:pPr>
              <w:numPr>
                <w:ilvl w:val="0"/>
                <w:numId w:val="0"/>
              </w:numPr>
              <w:spacing w:line="640" w:lineRule="exact"/>
              <w:jc w:val="center"/>
              <w:rPr>
                <w:rFonts w:hint="default" w:ascii="仿宋" w:hAnsi="仿宋" w:eastAsia="仿宋" w:cs="仿宋"/>
                <w:color w:val="auto"/>
                <w:sz w:val="28"/>
                <w:szCs w:val="28"/>
                <w:vertAlign w:val="baseline"/>
                <w:lang w:val="en-US" w:eastAsia="zh-CN"/>
              </w:rPr>
            </w:pPr>
            <w:r>
              <w:rPr>
                <w:rFonts w:hint="eastAsia" w:ascii="黑体" w:hAnsi="宋体" w:eastAsia="黑体" w:cs="黑体"/>
                <w:snapToGrid w:val="0"/>
                <w:color w:val="auto"/>
                <w:kern w:val="0"/>
                <w:sz w:val="31"/>
                <w:szCs w:val="31"/>
                <w:lang w:val="en-US" w:eastAsia="zh-CN" w:bidi="ar"/>
              </w:rPr>
              <w:t>序号</w:t>
            </w:r>
          </w:p>
        </w:tc>
        <w:tc>
          <w:tcPr>
            <w:tcW w:w="7691" w:type="dxa"/>
          </w:tcPr>
          <w:p>
            <w:pPr>
              <w:keepNext w:val="0"/>
              <w:keepLines w:val="0"/>
              <w:widowControl/>
              <w:suppressLineNumbers w:val="0"/>
              <w:jc w:val="center"/>
              <w:rPr>
                <w:rFonts w:hint="default" w:ascii="仿宋" w:hAnsi="仿宋" w:eastAsia="仿宋" w:cs="仿宋"/>
                <w:color w:val="auto"/>
                <w:sz w:val="28"/>
                <w:szCs w:val="28"/>
                <w:vertAlign w:val="baseline"/>
                <w:lang w:val="en-US" w:eastAsia="zh-CN"/>
              </w:rPr>
            </w:pPr>
            <w:r>
              <w:rPr>
                <w:rFonts w:ascii="黑体" w:hAnsi="宋体" w:eastAsia="黑体" w:cs="黑体"/>
                <w:snapToGrid w:val="0"/>
                <w:color w:val="auto"/>
                <w:kern w:val="0"/>
                <w:sz w:val="31"/>
                <w:szCs w:val="31"/>
                <w:lang w:val="en-US" w:eastAsia="zh-CN" w:bidi="ar"/>
              </w:rPr>
              <w:t>资料名称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tcPr>
          <w:p>
            <w:pPr>
              <w:numPr>
                <w:ilvl w:val="0"/>
                <w:numId w:val="0"/>
              </w:numPr>
              <w:spacing w:line="640" w:lineRule="exact"/>
              <w:jc w:val="center"/>
              <w:rPr>
                <w:rFonts w:hint="eastAsia" w:ascii="仿宋_GB2312" w:hAnsi="仿宋_GB2312" w:eastAsia="仿宋_GB2312" w:cs="仿宋_GB2312"/>
                <w:color w:val="auto"/>
                <w:sz w:val="30"/>
                <w:szCs w:val="30"/>
                <w:vertAlign w:val="baseline"/>
                <w:lang w:val="en-US" w:eastAsia="zh-CN"/>
              </w:rPr>
            </w:pPr>
            <w:r>
              <w:rPr>
                <w:rFonts w:hint="eastAsia" w:ascii="仿宋_GB2312" w:hAnsi="仿宋_GB2312" w:eastAsia="仿宋_GB2312" w:cs="仿宋_GB2312"/>
                <w:color w:val="auto"/>
                <w:sz w:val="30"/>
                <w:szCs w:val="30"/>
                <w:vertAlign w:val="baseline"/>
                <w:lang w:val="en-US" w:eastAsia="zh-CN"/>
              </w:rPr>
              <w:t>1</w:t>
            </w:r>
          </w:p>
        </w:tc>
        <w:tc>
          <w:tcPr>
            <w:tcW w:w="7691" w:type="dxa"/>
          </w:tcPr>
          <w:p>
            <w:pPr>
              <w:keepNext w:val="0"/>
              <w:keepLines w:val="0"/>
              <w:widowControl/>
              <w:suppressLineNumbers w:val="0"/>
              <w:jc w:val="both"/>
              <w:rPr>
                <w:rFonts w:hint="eastAsia" w:asciiTheme="minorEastAsia" w:hAnsiTheme="minorEastAsia" w:eastAsiaTheme="minorEastAsia" w:cstheme="minorEastAsia"/>
                <w:color w:val="auto"/>
                <w:sz w:val="30"/>
                <w:szCs w:val="30"/>
                <w:vertAlign w:val="baseline"/>
                <w:lang w:val="en-US" w:eastAsia="zh-CN"/>
              </w:rPr>
            </w:pPr>
            <w:r>
              <w:rPr>
                <w:rFonts w:hint="eastAsia" w:asciiTheme="minorEastAsia" w:hAnsiTheme="minorEastAsia" w:eastAsiaTheme="minorEastAsia" w:cstheme="minorEastAsia"/>
                <w:snapToGrid w:val="0"/>
                <w:color w:val="auto"/>
                <w:kern w:val="0"/>
                <w:sz w:val="30"/>
                <w:szCs w:val="30"/>
                <w:lang w:val="en-US" w:eastAsia="zh-CN" w:bidi="ar"/>
              </w:rPr>
              <w:t>企业用户电水气有线电视网联合报装业务申请表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tcPr>
          <w:p>
            <w:pPr>
              <w:numPr>
                <w:ilvl w:val="0"/>
                <w:numId w:val="0"/>
              </w:numPr>
              <w:spacing w:line="640" w:lineRule="exact"/>
              <w:jc w:val="center"/>
              <w:rPr>
                <w:rFonts w:hint="eastAsia" w:ascii="仿宋_GB2312" w:hAnsi="仿宋_GB2312" w:eastAsia="仿宋_GB2312" w:cs="仿宋_GB2312"/>
                <w:color w:val="auto"/>
                <w:sz w:val="30"/>
                <w:szCs w:val="30"/>
                <w:vertAlign w:val="baseline"/>
                <w:lang w:val="en-US" w:eastAsia="zh-CN"/>
              </w:rPr>
            </w:pPr>
            <w:r>
              <w:rPr>
                <w:rFonts w:hint="eastAsia" w:ascii="仿宋_GB2312" w:hAnsi="仿宋_GB2312" w:eastAsia="仿宋_GB2312" w:cs="仿宋_GB2312"/>
                <w:color w:val="auto"/>
                <w:sz w:val="30"/>
                <w:szCs w:val="30"/>
                <w:vertAlign w:val="baseline"/>
                <w:lang w:val="en-US" w:eastAsia="zh-CN"/>
              </w:rPr>
              <w:t>2</w:t>
            </w:r>
          </w:p>
        </w:tc>
        <w:tc>
          <w:tcPr>
            <w:tcW w:w="7691" w:type="dxa"/>
          </w:tcPr>
          <w:p>
            <w:pPr>
              <w:keepNext w:val="0"/>
              <w:keepLines w:val="0"/>
              <w:widowControl/>
              <w:suppressLineNumbers w:val="0"/>
              <w:jc w:val="left"/>
              <w:rPr>
                <w:rFonts w:hint="eastAsia" w:asciiTheme="minorEastAsia" w:hAnsiTheme="minorEastAsia" w:eastAsiaTheme="minorEastAsia" w:cstheme="minorEastAsia"/>
                <w:color w:val="auto"/>
                <w:sz w:val="30"/>
                <w:szCs w:val="30"/>
                <w:vertAlign w:val="baseline"/>
                <w:lang w:val="en-US" w:eastAsia="zh-CN"/>
              </w:rPr>
            </w:pPr>
            <w:r>
              <w:rPr>
                <w:rFonts w:hint="eastAsia" w:asciiTheme="minorEastAsia" w:hAnsiTheme="minorEastAsia" w:eastAsiaTheme="minorEastAsia" w:cstheme="minorEastAsia"/>
                <w:snapToGrid w:val="0"/>
                <w:color w:val="auto"/>
                <w:kern w:val="0"/>
                <w:sz w:val="30"/>
                <w:szCs w:val="30"/>
                <w:lang w:val="en-US" w:eastAsia="zh-CN" w:bidi="ar"/>
              </w:rPr>
              <w:t>法人身份证（委托他人办理还需提供经办人身份证及授权委托书）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tcPr>
          <w:p>
            <w:pPr>
              <w:numPr>
                <w:ilvl w:val="0"/>
                <w:numId w:val="0"/>
              </w:numPr>
              <w:spacing w:line="640" w:lineRule="exact"/>
              <w:jc w:val="center"/>
              <w:rPr>
                <w:rFonts w:hint="eastAsia" w:ascii="仿宋_GB2312" w:hAnsi="仿宋_GB2312" w:eastAsia="仿宋_GB2312" w:cs="仿宋_GB2312"/>
                <w:color w:val="auto"/>
                <w:sz w:val="30"/>
                <w:szCs w:val="30"/>
                <w:vertAlign w:val="baseline"/>
                <w:lang w:val="en-US" w:eastAsia="zh-CN"/>
              </w:rPr>
            </w:pPr>
            <w:r>
              <w:rPr>
                <w:rFonts w:hint="eastAsia" w:ascii="仿宋_GB2312" w:hAnsi="仿宋_GB2312" w:eastAsia="仿宋_GB2312" w:cs="仿宋_GB2312"/>
                <w:color w:val="auto"/>
                <w:sz w:val="30"/>
                <w:szCs w:val="30"/>
                <w:vertAlign w:val="baseline"/>
                <w:lang w:val="en-US" w:eastAsia="zh-CN"/>
              </w:rPr>
              <w:t>3</w:t>
            </w:r>
          </w:p>
        </w:tc>
        <w:tc>
          <w:tcPr>
            <w:tcW w:w="769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30"/>
                <w:szCs w:val="30"/>
                <w:vertAlign w:val="baseline"/>
                <w:lang w:val="en-US" w:eastAsia="zh-CN"/>
              </w:rPr>
            </w:pPr>
            <w:r>
              <w:rPr>
                <w:rFonts w:hint="eastAsia" w:asciiTheme="minorEastAsia" w:hAnsiTheme="minorEastAsia" w:eastAsiaTheme="minorEastAsia" w:cstheme="minorEastAsia"/>
                <w:color w:val="auto"/>
                <w:sz w:val="30"/>
                <w:szCs w:val="30"/>
                <w:lang w:val="en-US" w:eastAsia="zh-CN"/>
              </w:rPr>
              <w:t>企业营业执照（若法人身份证能关联到</w:t>
            </w:r>
            <w:r>
              <w:rPr>
                <w:rFonts w:hint="default" w:asciiTheme="minorEastAsia" w:hAnsiTheme="minorEastAsia" w:eastAsiaTheme="minorEastAsia" w:cstheme="minorEastAsia"/>
                <w:color w:val="auto"/>
                <w:sz w:val="30"/>
                <w:szCs w:val="30"/>
                <w:lang w:eastAsia="zh-CN"/>
              </w:rPr>
              <w:t>则</w:t>
            </w:r>
            <w:r>
              <w:rPr>
                <w:rFonts w:hint="eastAsia" w:asciiTheme="minorEastAsia" w:hAnsiTheme="minorEastAsia" w:eastAsiaTheme="minorEastAsia" w:cstheme="minorEastAsia"/>
                <w:color w:val="auto"/>
                <w:sz w:val="30"/>
                <w:szCs w:val="30"/>
                <w:lang w:val="en-US" w:eastAsia="zh-CN"/>
              </w:rPr>
              <w:t>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tcPr>
          <w:p>
            <w:pPr>
              <w:numPr>
                <w:ilvl w:val="0"/>
                <w:numId w:val="0"/>
              </w:numPr>
              <w:spacing w:line="640" w:lineRule="exact"/>
              <w:jc w:val="center"/>
              <w:rPr>
                <w:rFonts w:hint="default" w:ascii="仿宋_GB2312" w:hAnsi="仿宋_GB2312" w:eastAsia="仿宋_GB2312" w:cs="仿宋_GB2312"/>
                <w:color w:val="auto"/>
                <w:sz w:val="30"/>
                <w:szCs w:val="30"/>
                <w:vertAlign w:val="baseline"/>
                <w:lang w:val="en-US" w:eastAsia="zh-CN"/>
              </w:rPr>
            </w:pPr>
            <w:r>
              <w:rPr>
                <w:rFonts w:hint="eastAsia" w:ascii="仿宋_GB2312" w:hAnsi="仿宋_GB2312" w:eastAsia="仿宋_GB2312" w:cs="仿宋_GB2312"/>
                <w:color w:val="auto"/>
                <w:sz w:val="30"/>
                <w:szCs w:val="30"/>
                <w:vertAlign w:val="baseline"/>
                <w:lang w:val="en-US" w:eastAsia="zh-CN"/>
              </w:rPr>
              <w:t>4</w:t>
            </w:r>
          </w:p>
        </w:tc>
        <w:tc>
          <w:tcPr>
            <w:tcW w:w="7691" w:type="dxa"/>
          </w:tcPr>
          <w:p>
            <w:pPr>
              <w:keepNext w:val="0"/>
              <w:keepLines w:val="0"/>
              <w:widowControl/>
              <w:suppressLineNumbers w:val="0"/>
              <w:jc w:val="both"/>
              <w:rPr>
                <w:rFonts w:hint="eastAsia" w:asciiTheme="minorEastAsia" w:hAnsiTheme="minorEastAsia" w:eastAsiaTheme="minorEastAsia" w:cstheme="minorEastAsia"/>
                <w:snapToGrid w:val="0"/>
                <w:color w:val="auto"/>
                <w:kern w:val="0"/>
                <w:sz w:val="30"/>
                <w:szCs w:val="30"/>
                <w:lang w:val="en-US" w:eastAsia="zh-CN" w:bidi="ar"/>
              </w:rPr>
            </w:pPr>
            <w:r>
              <w:rPr>
                <w:rFonts w:hint="eastAsia" w:asciiTheme="minorEastAsia" w:hAnsiTheme="minorEastAsia" w:eastAsiaTheme="minorEastAsia" w:cstheme="minorEastAsia"/>
                <w:snapToGrid w:val="0"/>
                <w:color w:val="auto"/>
                <w:kern w:val="0"/>
                <w:sz w:val="30"/>
                <w:szCs w:val="30"/>
                <w:lang w:val="en-US" w:eastAsia="zh-CN" w:bidi="ar"/>
              </w:rPr>
              <w:t>权属证明</w:t>
            </w:r>
          </w:p>
        </w:tc>
      </w:tr>
    </w:tbl>
    <w:p>
      <w:pPr>
        <w:numPr>
          <w:ilvl w:val="0"/>
          <w:numId w:val="0"/>
        </w:numPr>
        <w:spacing w:line="640" w:lineRule="exact"/>
        <w:jc w:val="left"/>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lang w:val="en-US" w:eastAsia="zh-CN"/>
        </w:rPr>
        <w:t>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lang w:val="en-US" w:eastAsia="zh-CN"/>
        </w:rPr>
        <w:t>权属证明为以下材料之一: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lang w:val="en-US" w:eastAsia="zh-CN"/>
        </w:rPr>
        <w:t>(1)权属证明材料:一般指《房地产权证》、《房产证》、《国有土地使用证》、《集体土地使用证》、宅基地证、(其中之一)。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lang w:val="en-US" w:eastAsia="zh-CN"/>
        </w:rPr>
        <w:t>(2)经房管部门备案的《购房合同》，或提供的租簿《租用房屋凭证》、房产交易办证回执。</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lang w:val="en-US" w:eastAsia="zh-CN"/>
        </w:rPr>
        <w:t>(3)含有明确房屋产权判词的且发生法律效力的法院法律文书(判决书、裁定书、调解书等)。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lang w:val="en-US" w:eastAsia="zh-CN"/>
        </w:rPr>
        <w:t>(4)由镇街及以上政府部门确认具有物业权属证明权限的有效证明文书或可供电证明文件。</w:t>
      </w:r>
    </w:p>
    <w:sectPr>
      <w:footerReference r:id="rId3" w:type="default"/>
      <w:pgSz w:w="11906" w:h="16838"/>
      <w:pgMar w:top="1417" w:right="1701" w:bottom="1417" w:left="1701" w:header="851" w:footer="992" w:gutter="0"/>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default" w:eastAsia="宋体"/>
        <w:color w:val="000000" w:themeColor="text1"/>
        <w:lang w:val="en-US" w:eastAsia="zh-CN"/>
        <w14:textFill>
          <w14:solidFill>
            <w14:schemeClr w14:val="tx1"/>
          </w14:solidFill>
        </w14:textFill>
      </w:rPr>
    </w:pPr>
    <w:r>
      <w:rPr>
        <w:color w:val="000000" w:themeColor="text1"/>
        <w:sz w:val="18"/>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iZjQ2YzMyNjg4MzgxYTYyZWFiMzkxYzI1NTIwZmYifQ=="/>
  </w:docVars>
  <w:rsids>
    <w:rsidRoot w:val="53586C70"/>
    <w:rsid w:val="004368A4"/>
    <w:rsid w:val="005769F3"/>
    <w:rsid w:val="00960E94"/>
    <w:rsid w:val="009C7718"/>
    <w:rsid w:val="00A23395"/>
    <w:rsid w:val="00B671B3"/>
    <w:rsid w:val="00B745E8"/>
    <w:rsid w:val="00C278B6"/>
    <w:rsid w:val="00CA3F17"/>
    <w:rsid w:val="00F36C33"/>
    <w:rsid w:val="031664A1"/>
    <w:rsid w:val="039879D9"/>
    <w:rsid w:val="045042A3"/>
    <w:rsid w:val="048E4F48"/>
    <w:rsid w:val="082500FC"/>
    <w:rsid w:val="096C3FB7"/>
    <w:rsid w:val="0A0F0607"/>
    <w:rsid w:val="0AF9159D"/>
    <w:rsid w:val="0C0836DE"/>
    <w:rsid w:val="0C91666B"/>
    <w:rsid w:val="0D4E451E"/>
    <w:rsid w:val="0D612C44"/>
    <w:rsid w:val="0F1B4006"/>
    <w:rsid w:val="0F97723C"/>
    <w:rsid w:val="10743DAD"/>
    <w:rsid w:val="13EE2D42"/>
    <w:rsid w:val="13FB5728"/>
    <w:rsid w:val="15032672"/>
    <w:rsid w:val="15187917"/>
    <w:rsid w:val="15D46A1A"/>
    <w:rsid w:val="16EE2D12"/>
    <w:rsid w:val="17487147"/>
    <w:rsid w:val="17CA7F6F"/>
    <w:rsid w:val="18444836"/>
    <w:rsid w:val="185E1751"/>
    <w:rsid w:val="1BDA2B51"/>
    <w:rsid w:val="1D1502E7"/>
    <w:rsid w:val="1D2A0A29"/>
    <w:rsid w:val="1D333538"/>
    <w:rsid w:val="1E206457"/>
    <w:rsid w:val="1F175A03"/>
    <w:rsid w:val="1F625A08"/>
    <w:rsid w:val="20BE5E34"/>
    <w:rsid w:val="20F14799"/>
    <w:rsid w:val="21957EED"/>
    <w:rsid w:val="25864631"/>
    <w:rsid w:val="279D7426"/>
    <w:rsid w:val="29EB3713"/>
    <w:rsid w:val="2A1A367D"/>
    <w:rsid w:val="2B204A5F"/>
    <w:rsid w:val="2E426A62"/>
    <w:rsid w:val="2F753D71"/>
    <w:rsid w:val="2FE36302"/>
    <w:rsid w:val="30991CC7"/>
    <w:rsid w:val="30BD0622"/>
    <w:rsid w:val="348F0371"/>
    <w:rsid w:val="34CF1634"/>
    <w:rsid w:val="37370D01"/>
    <w:rsid w:val="39B7492C"/>
    <w:rsid w:val="3A9D07DB"/>
    <w:rsid w:val="3B2D770F"/>
    <w:rsid w:val="3C79243F"/>
    <w:rsid w:val="3EC837CD"/>
    <w:rsid w:val="3FE20080"/>
    <w:rsid w:val="40793ED9"/>
    <w:rsid w:val="408F77C2"/>
    <w:rsid w:val="433C7578"/>
    <w:rsid w:val="438740D8"/>
    <w:rsid w:val="455410FD"/>
    <w:rsid w:val="46917354"/>
    <w:rsid w:val="47BE7F5C"/>
    <w:rsid w:val="48A759E8"/>
    <w:rsid w:val="492F6EEB"/>
    <w:rsid w:val="4B094707"/>
    <w:rsid w:val="4D16721C"/>
    <w:rsid w:val="4D183C03"/>
    <w:rsid w:val="51B760F6"/>
    <w:rsid w:val="52734B8D"/>
    <w:rsid w:val="52C724BA"/>
    <w:rsid w:val="53586C70"/>
    <w:rsid w:val="54C53DC5"/>
    <w:rsid w:val="56F44C23"/>
    <w:rsid w:val="585551EC"/>
    <w:rsid w:val="58941CB6"/>
    <w:rsid w:val="592337AB"/>
    <w:rsid w:val="597F38B7"/>
    <w:rsid w:val="5AC01722"/>
    <w:rsid w:val="5CD57AD5"/>
    <w:rsid w:val="5CD808C6"/>
    <w:rsid w:val="5D170D88"/>
    <w:rsid w:val="5DB617F3"/>
    <w:rsid w:val="5E923E8F"/>
    <w:rsid w:val="5EC91EBB"/>
    <w:rsid w:val="60BC78DA"/>
    <w:rsid w:val="61682619"/>
    <w:rsid w:val="62DF5E56"/>
    <w:rsid w:val="63416D0D"/>
    <w:rsid w:val="641D6EC3"/>
    <w:rsid w:val="660E7823"/>
    <w:rsid w:val="67E85C48"/>
    <w:rsid w:val="69F636E9"/>
    <w:rsid w:val="6AA251A2"/>
    <w:rsid w:val="6B6A3CC2"/>
    <w:rsid w:val="6E3C51B8"/>
    <w:rsid w:val="6F2F02BF"/>
    <w:rsid w:val="70F031AE"/>
    <w:rsid w:val="72722ED7"/>
    <w:rsid w:val="72D66F75"/>
    <w:rsid w:val="739B5863"/>
    <w:rsid w:val="77E05519"/>
    <w:rsid w:val="785559E2"/>
    <w:rsid w:val="786110AB"/>
    <w:rsid w:val="7A826C7A"/>
    <w:rsid w:val="7D0C7F34"/>
    <w:rsid w:val="7E783F00"/>
    <w:rsid w:val="7ED06D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napToGrid w:val="0"/>
      <w:color w:val="FFFFFF" w:themeColor="background1"/>
      <w:kern w:val="2"/>
      <w:sz w:val="21"/>
      <w:lang w:val="en-US" w:eastAsia="zh-CN" w:bidi="ar-SA"/>
      <w14:textFill>
        <w14:solidFill>
          <w14:schemeClr w14:val="bg1"/>
        </w14:solidFill>
      </w14:textFill>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180" w:after="180"/>
    </w:pPr>
    <w:rPr>
      <w:rFonts w:asciiTheme="minorHAnsi" w:hAnsiTheme="minorHAnsi" w:eastAsiaTheme="minorHAnsi" w:cstheme="minorBidi"/>
      <w:sz w:val="24"/>
      <w:szCs w:val="24"/>
      <w:lang w:eastAsia="en-US"/>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character" w:customStyle="1" w:styleId="9">
    <w:name w:val="Body text|1_"/>
    <w:basedOn w:val="7"/>
    <w:link w:val="10"/>
    <w:qFormat/>
    <w:uiPriority w:val="0"/>
    <w:rPr>
      <w:rFonts w:ascii="宋体" w:hAnsi="宋体" w:eastAsia="宋体" w:cs="宋体"/>
      <w:sz w:val="30"/>
      <w:szCs w:val="30"/>
      <w:lang w:val="zh-TW" w:eastAsia="zh-TW" w:bidi="zh-TW"/>
    </w:rPr>
  </w:style>
  <w:style w:type="paragraph" w:customStyle="1" w:styleId="10">
    <w:name w:val="Body text|1"/>
    <w:basedOn w:val="1"/>
    <w:link w:val="9"/>
    <w:qFormat/>
    <w:uiPriority w:val="0"/>
    <w:pPr>
      <w:spacing w:line="442" w:lineRule="auto"/>
      <w:ind w:firstLine="400"/>
      <w:jc w:val="left"/>
    </w:pPr>
    <w:rPr>
      <w:rFonts w:ascii="宋体" w:hAnsi="宋体" w:eastAsia="宋体" w:cs="宋体"/>
      <w:snapToGrid/>
      <w:color w:val="auto"/>
      <w:kern w:val="0"/>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2185</Words>
  <Characters>2214</Characters>
  <Lines>7</Lines>
  <Paragraphs>2</Paragraphs>
  <TotalTime>0</TotalTime>
  <ScaleCrop>false</ScaleCrop>
  <LinksUpToDate>false</LinksUpToDate>
  <CharactersWithSpaces>2260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2020-04-29T09:13:00Z</dcterms:created>
  <dc:creator>WPS_1469457521</dc:creator>
  <cp:lastModifiedBy></cp:lastModifiedBy>
  <cp:lastPrinted>2024-05-15T08:16:00Z</cp:lastPrinted>
  <dcterms:modified xsi:type="dcterms:W3CDTF">2024-05-27T08:31:44Z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3718DAE0824A4D118CFBAD1EA6273223_13</vt:lpwstr>
  </property>
</Properties>
</file>