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00"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spacing w:line="360" w:lineRule="auto"/>
        <w:ind w:right="6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ind w:right="6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0"/>
          <w:szCs w:val="30"/>
        </w:rPr>
        <w:t>方案</w:t>
      </w: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涉及区域的土地利用结构变化表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right"/>
        <w:textAlignment w:val="auto"/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  <w:t>单位：公顷</w:t>
      </w:r>
    </w:p>
    <w:tbl>
      <w:tblPr>
        <w:tblStyle w:val="2"/>
        <w:tblW w:w="9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50"/>
        <w:gridCol w:w="927"/>
        <w:gridCol w:w="877"/>
        <w:gridCol w:w="975"/>
        <w:gridCol w:w="902"/>
        <w:gridCol w:w="939"/>
        <w:gridCol w:w="1000"/>
        <w:gridCol w:w="951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tblHeader/>
          <w:jc w:val="center"/>
        </w:trPr>
        <w:tc>
          <w:tcPr>
            <w:tcW w:w="72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地块编号</w:t>
            </w:r>
          </w:p>
        </w:tc>
        <w:tc>
          <w:tcPr>
            <w:tcW w:w="9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b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Cs w:val="21"/>
                <w:highlight w:val="none"/>
                <w:lang w:val="en-US" w:eastAsia="zh-CN"/>
              </w:rPr>
              <w:t>调整情况</w:t>
            </w:r>
          </w:p>
        </w:tc>
        <w:tc>
          <w:tcPr>
            <w:tcW w:w="4620" w:type="dxa"/>
            <w:gridSpan w:val="5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农用地</w:t>
            </w:r>
          </w:p>
        </w:tc>
        <w:tc>
          <w:tcPr>
            <w:tcW w:w="100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建设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用地</w:t>
            </w:r>
          </w:p>
        </w:tc>
        <w:tc>
          <w:tcPr>
            <w:tcW w:w="95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其他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土地</w:t>
            </w:r>
          </w:p>
        </w:tc>
        <w:tc>
          <w:tcPr>
            <w:tcW w:w="93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72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</w:p>
        </w:tc>
        <w:tc>
          <w:tcPr>
            <w:tcW w:w="95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小计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耕地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园地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林地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其他农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  <w:t>用地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</w:p>
        </w:tc>
        <w:tc>
          <w:tcPr>
            <w:tcW w:w="95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</w:p>
        </w:tc>
        <w:tc>
          <w:tcPr>
            <w:tcW w:w="93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tblHeader/>
          <w:jc w:val="center"/>
        </w:trPr>
        <w:tc>
          <w:tcPr>
            <w:tcW w:w="72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  <w:lang w:val="en-US" w:eastAsia="zh-CN"/>
              </w:rPr>
              <w:t>LS01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调整前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val="en-US" w:eastAsia="zh-CN"/>
              </w:rPr>
              <w:t>6.2273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6.0405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0.1868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0.4746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6.7019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tblHeader/>
          <w:jc w:val="center"/>
        </w:trPr>
        <w:tc>
          <w:tcPr>
            <w:tcW w:w="72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Cs w:val="21"/>
                <w:highlight w:val="none"/>
                <w:lang w:val="en-US" w:eastAsia="zh-CN"/>
              </w:rPr>
              <w:t>调整后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6.7019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6.7019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tblHeader/>
          <w:jc w:val="center"/>
        </w:trPr>
        <w:tc>
          <w:tcPr>
            <w:tcW w:w="16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highlight w:val="none"/>
                <w:lang w:val="en-US" w:eastAsia="zh-CN"/>
              </w:rPr>
              <w:t>变化情况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val="en-US" w:eastAsia="zh-CN"/>
              </w:rPr>
              <w:t>-6.2273</w:t>
            </w:r>
          </w:p>
        </w:tc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-6.0405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-0.1868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+6.7019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  <w:lang w:val="en-US" w:eastAsia="zh-CN"/>
              </w:rPr>
              <w:t>-0.4746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>
      <w:pPr>
        <w:spacing w:line="360" w:lineRule="auto"/>
        <w:ind w:right="6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ind w:right="600"/>
        <w:jc w:val="left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ind w:right="600"/>
        <w:jc w:val="left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default" w:ascii="Times New Roman" w:hAnsi="Times New Roman" w:eastAsia="仿宋_GB2312" w:cs="Times New Roman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预留规模落实前后主要土地调控指标变化情况</w:t>
      </w: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highlight w:val="none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right"/>
        <w:textAlignment w:val="auto"/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  <w:t>单位：公顷</w:t>
      </w:r>
    </w:p>
    <w:tbl>
      <w:tblPr>
        <w:tblStyle w:val="2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3336"/>
        <w:gridCol w:w="1373"/>
        <w:gridCol w:w="137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  <w:t>行政区域</w:t>
            </w: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b/>
                <w:bCs/>
                <w:kern w:val="0"/>
                <w:szCs w:val="21"/>
                <w:highlight w:val="none"/>
              </w:rPr>
              <w:t>指标名称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b/>
                <w:bCs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b/>
                <w:bCs/>
                <w:kern w:val="0"/>
                <w:szCs w:val="21"/>
                <w:highlight w:val="none"/>
              </w:rPr>
              <w:t>2020年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  <w:t>落实前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  <w:t>2020年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  <w:t>落实后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Cs w:val="21"/>
                <w:highlight w:val="none"/>
                <w:lang w:val="en-US" w:eastAsia="zh-CN"/>
              </w:rPr>
              <w:t>变化情况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6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陆丰市</w:t>
            </w: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耕地保有量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42372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42372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永久</w:t>
            </w: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基本农田保护面积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37259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37259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建设用地总规模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20003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20003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城乡建设用地规模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13819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13819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城镇工矿用地规模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6495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6495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交通水利及其他用地规模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6184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6184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广东省铜锣湖农场</w:t>
            </w: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耕地保有量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668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668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永久</w:t>
            </w: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基本农田保护面积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865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865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建设用地总规模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742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742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城乡建设用地规模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243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243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城镇工矿用地规模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81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81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65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kern w:val="0"/>
                <w:szCs w:val="21"/>
                <w:highlight w:val="none"/>
              </w:rPr>
            </w:pPr>
          </w:p>
        </w:tc>
        <w:tc>
          <w:tcPr>
            <w:tcW w:w="333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"/>
                <w:kern w:val="0"/>
                <w:szCs w:val="21"/>
                <w:highlight w:val="none"/>
              </w:rPr>
              <w:t>交通水利及其他用地规模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499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499</w:t>
            </w:r>
          </w:p>
        </w:tc>
        <w:tc>
          <w:tcPr>
            <w:tcW w:w="1373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>
      <w:pPr>
        <w:spacing w:line="360" w:lineRule="auto"/>
        <w:ind w:right="6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</w:p>
    <w:p>
      <w:pPr>
        <w:spacing w:line="360" w:lineRule="auto"/>
        <w:ind w:right="600"/>
        <w:jc w:val="center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ind w:right="600"/>
        <w:jc w:val="both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ind w:right="600"/>
        <w:jc w:val="center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预留规模落实前后土地利用规划图</w:t>
      </w:r>
    </w:p>
    <w:p>
      <w:pPr>
        <w:spacing w:line="360" w:lineRule="auto"/>
        <w:ind w:right="600"/>
        <w:jc w:val="center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  <w:drawing>
          <wp:inline distT="0" distB="0" distL="114300" distR="114300">
            <wp:extent cx="5540375" cy="7838440"/>
            <wp:effectExtent l="0" t="0" r="3175" b="10160"/>
            <wp:docPr id="1" name="图片 1" descr="D:\1. 东图\1.项目相关\2021年\8.汕尾500千伏陆丰输变电工程项目  用地预审+节地评价+调规\5.落实方案\汕尾500千伏陆丰输变电工程项目\落实方案\1.成果\3.图件\广东省铜锣湖农场落实地块前土地利用规划图LS01.jpg广东省铜锣湖农场落实地块前土地利用规划图LS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1. 东图\1.项目相关\2021年\8.汕尾500千伏陆丰输变电工程项目  用地预审+节地评价+调规\5.落实方案\汕尾500千伏陆丰输变电工程项目\落实方案\1.成果\3.图件\广东省铜锣湖农场落实地块前土地利用规划图LS01.jpg广东省铜锣湖农场落实地块前土地利用规划图LS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0375" cy="783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  <w:drawing>
          <wp:inline distT="0" distB="0" distL="114300" distR="114300">
            <wp:extent cx="5571490" cy="7882255"/>
            <wp:effectExtent l="0" t="0" r="10160" b="4445"/>
            <wp:docPr id="2" name="图片 2" descr="D:\1. 东图\1.项目相关\2021年\8.汕尾500千伏陆丰输变电工程项目  用地预审+节地评价+调规\5.落实方案\汕尾500千伏陆丰输变电工程项目\落实方案\1.成果\3.图件\广东省铜锣湖农场落实地块后土地利用规划图LS01.jpg广东省铜锣湖农场落实地块后土地利用规划图LS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1. 东图\1.项目相关\2021年\8.汕尾500千伏陆丰输变电工程项目  用地预审+节地评价+调规\5.落实方案\汕尾500千伏陆丰输变电工程项目\落实方案\1.成果\3.图件\广东省铜锣湖农场落实地块后土地利用规划图LS01.jpg广东省铜锣湖农场落实地块后土地利用规划图LS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1490" cy="788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C6578"/>
    <w:rsid w:val="73B1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2021-07-14T08:10:00Z</dcterms:created>
  <dc:creator>Administrator</dc:creator>
  <cp:lastModifiedBy>夜⊙_⊙Lu</cp:lastModifiedBy>
  <dcterms:modified xsi:type="dcterms:W3CDTF">2022-04-07T01:43:39Z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02E732B7E5374C9A86AF9CF08749559B</vt:lpwstr>
  </property>
</Properties>
</file>